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8527" w14:textId="77777777" w:rsidR="0075403E" w:rsidRDefault="0075403E" w:rsidP="003E1A39">
      <w:pPr>
        <w:spacing w:after="0" w:line="240" w:lineRule="auto"/>
        <w:rPr>
          <w:rFonts w:ascii="Georgia" w:eastAsia="Arial" w:hAnsi="Georgia" w:cs="Tahoma"/>
          <w:b/>
          <w:color w:val="002060"/>
          <w:szCs w:val="20"/>
        </w:rPr>
      </w:pPr>
    </w:p>
    <w:p w14:paraId="43D691A6" w14:textId="77777777" w:rsidR="0075403E" w:rsidRDefault="0075403E" w:rsidP="003E1A39">
      <w:pPr>
        <w:spacing w:after="0" w:line="240" w:lineRule="auto"/>
        <w:rPr>
          <w:rFonts w:ascii="Georgia" w:eastAsia="Arial" w:hAnsi="Georgia" w:cs="Tahoma"/>
          <w:b/>
          <w:color w:val="002060"/>
          <w:szCs w:val="20"/>
        </w:rPr>
      </w:pPr>
    </w:p>
    <w:p w14:paraId="6C2CF084" w14:textId="77777777" w:rsidR="0075403E" w:rsidRDefault="0075403E" w:rsidP="003E1A39">
      <w:pPr>
        <w:spacing w:after="0" w:line="240" w:lineRule="auto"/>
        <w:rPr>
          <w:rFonts w:ascii="Georgia" w:eastAsia="Arial" w:hAnsi="Georgia" w:cs="Tahoma"/>
          <w:b/>
          <w:color w:val="002060"/>
          <w:szCs w:val="20"/>
        </w:rPr>
      </w:pPr>
    </w:p>
    <w:p w14:paraId="2B1351E3" w14:textId="1303AF4E" w:rsidR="003E1A39" w:rsidRDefault="00093477" w:rsidP="003E1A39">
      <w:pPr>
        <w:spacing w:after="0" w:line="240" w:lineRule="auto"/>
        <w:rPr>
          <w:rFonts w:ascii="Georgia" w:eastAsia="Arial" w:hAnsi="Georgia" w:cs="Tahoma"/>
          <w:b/>
          <w:color w:val="002060"/>
          <w:szCs w:val="20"/>
        </w:rPr>
      </w:pPr>
      <w:r>
        <w:rPr>
          <w:rFonts w:ascii="Georgia" w:eastAsia="Arial" w:hAnsi="Georgia" w:cs="Tahoma"/>
          <w:b/>
          <w:color w:val="002060"/>
          <w:szCs w:val="20"/>
        </w:rPr>
        <w:t xml:space="preserve">Medellín, </w:t>
      </w:r>
      <w:r w:rsidR="0075403E">
        <w:rPr>
          <w:rFonts w:ascii="Georgia" w:eastAsia="Arial" w:hAnsi="Georgia" w:cs="Tahoma"/>
          <w:b/>
          <w:color w:val="002060"/>
          <w:szCs w:val="20"/>
        </w:rPr>
        <w:t>Colombia</w:t>
      </w:r>
      <w:r w:rsidR="00453EA9">
        <w:rPr>
          <w:rFonts w:ascii="Georgia" w:eastAsia="Arial" w:hAnsi="Georgia" w:cs="Tahoma"/>
          <w:b/>
          <w:color w:val="002060"/>
          <w:szCs w:val="20"/>
        </w:rPr>
        <w:t>,</w:t>
      </w:r>
      <w:r w:rsidR="0075403E">
        <w:rPr>
          <w:rFonts w:ascii="Georgia" w:eastAsia="Arial" w:hAnsi="Georgia" w:cs="Tahoma"/>
          <w:b/>
          <w:color w:val="002060"/>
          <w:szCs w:val="20"/>
        </w:rPr>
        <w:t xml:space="preserve"> </w:t>
      </w:r>
      <w:r w:rsidR="004E7465">
        <w:rPr>
          <w:rFonts w:ascii="Georgia" w:eastAsia="Arial" w:hAnsi="Georgia" w:cs="Tahoma"/>
          <w:b/>
          <w:color w:val="002060"/>
          <w:szCs w:val="20"/>
        </w:rPr>
        <w:t>0</w:t>
      </w:r>
      <w:r w:rsidR="00AF77E3">
        <w:rPr>
          <w:rFonts w:ascii="Georgia" w:eastAsia="Arial" w:hAnsi="Georgia" w:cs="Tahoma"/>
          <w:b/>
          <w:color w:val="002060"/>
          <w:szCs w:val="20"/>
        </w:rPr>
        <w:t>2</w:t>
      </w:r>
      <w:r w:rsidR="0075403E">
        <w:rPr>
          <w:rFonts w:ascii="Georgia" w:eastAsia="Arial" w:hAnsi="Georgia" w:cs="Tahoma"/>
          <w:b/>
          <w:color w:val="002060"/>
          <w:szCs w:val="20"/>
        </w:rPr>
        <w:t xml:space="preserve"> </w:t>
      </w:r>
      <w:r w:rsidR="003E1A39" w:rsidRPr="003E1A39">
        <w:rPr>
          <w:rFonts w:ascii="Georgia" w:eastAsia="Arial" w:hAnsi="Georgia" w:cs="Tahoma"/>
          <w:b/>
          <w:color w:val="002060"/>
          <w:szCs w:val="20"/>
        </w:rPr>
        <w:t xml:space="preserve">de </w:t>
      </w:r>
      <w:r w:rsidR="004E7465">
        <w:rPr>
          <w:rFonts w:ascii="Georgia" w:eastAsia="Arial" w:hAnsi="Georgia" w:cs="Tahoma"/>
          <w:b/>
          <w:color w:val="002060"/>
          <w:szCs w:val="20"/>
        </w:rPr>
        <w:t xml:space="preserve">diciembre </w:t>
      </w:r>
      <w:r w:rsidR="00A07D96">
        <w:rPr>
          <w:rFonts w:ascii="Georgia" w:eastAsia="Arial" w:hAnsi="Georgia" w:cs="Tahoma"/>
          <w:b/>
          <w:color w:val="002060"/>
          <w:szCs w:val="20"/>
        </w:rPr>
        <w:t xml:space="preserve">de </w:t>
      </w:r>
      <w:r w:rsidR="003E1A39" w:rsidRPr="003E1A39">
        <w:rPr>
          <w:rFonts w:ascii="Georgia" w:eastAsia="Arial" w:hAnsi="Georgia" w:cs="Tahoma"/>
          <w:b/>
          <w:color w:val="002060"/>
          <w:szCs w:val="20"/>
        </w:rPr>
        <w:t>20</w:t>
      </w:r>
      <w:r w:rsidR="007F4C24">
        <w:rPr>
          <w:rFonts w:ascii="Georgia" w:eastAsia="Arial" w:hAnsi="Georgia" w:cs="Tahoma"/>
          <w:b/>
          <w:color w:val="002060"/>
          <w:szCs w:val="20"/>
        </w:rPr>
        <w:t>20</w:t>
      </w:r>
    </w:p>
    <w:p w14:paraId="078E8DBE" w14:textId="77777777" w:rsidR="00C2470A" w:rsidRDefault="00C2470A" w:rsidP="00877BB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99FF"/>
          <w:sz w:val="28"/>
          <w:szCs w:val="28"/>
          <w:lang w:eastAsia="es-ES"/>
        </w:rPr>
      </w:pPr>
    </w:p>
    <w:p w14:paraId="066FB7ED" w14:textId="77777777" w:rsidR="0075403E" w:rsidRDefault="0075403E" w:rsidP="00036FAC">
      <w:pPr>
        <w:spacing w:after="0" w:line="240" w:lineRule="auto"/>
        <w:jc w:val="center"/>
        <w:rPr>
          <w:rFonts w:ascii="Georgia" w:eastAsia="Times New Roman" w:hAnsi="Georgia" w:cs="Tahoma"/>
          <w:b/>
          <w:bCs/>
          <w:color w:val="0099FF"/>
          <w:sz w:val="28"/>
          <w:szCs w:val="28"/>
          <w:lang w:eastAsia="es-ES"/>
        </w:rPr>
      </w:pPr>
    </w:p>
    <w:p w14:paraId="03435DE5" w14:textId="77777777" w:rsidR="004E7465" w:rsidRPr="004E7465" w:rsidRDefault="004E7465" w:rsidP="004E7465">
      <w:pPr>
        <w:jc w:val="center"/>
        <w:rPr>
          <w:rStyle w:val="Hipervnculo"/>
          <w:rFonts w:ascii="Tahoma" w:hAnsi="Tahoma" w:cs="Tahoma"/>
          <w:b/>
          <w:color w:val="00B0F0"/>
          <w:sz w:val="28"/>
          <w:szCs w:val="28"/>
          <w:u w:val="none"/>
        </w:rPr>
      </w:pPr>
      <w:r w:rsidRPr="004E7465">
        <w:rPr>
          <w:rStyle w:val="Hipervnculo"/>
          <w:rFonts w:ascii="Tahoma" w:hAnsi="Tahoma" w:cs="Tahoma"/>
          <w:b/>
          <w:color w:val="00B0F0"/>
          <w:sz w:val="28"/>
          <w:szCs w:val="28"/>
          <w:u w:val="none"/>
        </w:rPr>
        <w:t>Grupo ISA firma acuerdo para adquirir compañía de transmisión en Brasil que aportará ingresos anuales aproximados de COP 128.000</w:t>
      </w:r>
      <w:r w:rsidRPr="004E7465">
        <w:rPr>
          <w:rStyle w:val="Hipervnculo"/>
          <w:rFonts w:ascii="Tahoma" w:hAnsi="Tahoma"/>
          <w:b/>
          <w:color w:val="00B0F0"/>
          <w:sz w:val="28"/>
          <w:u w:val="none"/>
        </w:rPr>
        <w:t xml:space="preserve"> millones</w:t>
      </w:r>
      <w:r w:rsidRPr="004E7465">
        <w:rPr>
          <w:rStyle w:val="Hipervnculo"/>
          <w:rFonts w:ascii="Tahoma" w:hAnsi="Tahoma" w:cs="Tahoma"/>
          <w:b/>
          <w:color w:val="00B0F0"/>
          <w:sz w:val="28"/>
          <w:szCs w:val="28"/>
          <w:u w:val="none"/>
        </w:rPr>
        <w:t xml:space="preserve"> </w:t>
      </w:r>
    </w:p>
    <w:p w14:paraId="6616A04A" w14:textId="77777777" w:rsidR="00CD1C6E" w:rsidRPr="003E1A39" w:rsidRDefault="00CD1C6E" w:rsidP="00877BB8">
      <w:pPr>
        <w:spacing w:after="0" w:line="240" w:lineRule="auto"/>
        <w:jc w:val="both"/>
        <w:rPr>
          <w:rFonts w:ascii="Georgia" w:eastAsia="Times New Roman" w:hAnsi="Georgia" w:cs="Tahoma"/>
          <w:b/>
          <w:bCs/>
          <w:color w:val="0099FF"/>
          <w:sz w:val="28"/>
          <w:szCs w:val="28"/>
          <w:lang w:eastAsia="es-ES"/>
        </w:rPr>
      </w:pPr>
    </w:p>
    <w:p w14:paraId="22623C05" w14:textId="77777777" w:rsidR="004E7465" w:rsidRPr="004E7465" w:rsidRDefault="004E7465" w:rsidP="004E7465">
      <w:pPr>
        <w:pStyle w:val="Prrafodelista"/>
        <w:numPr>
          <w:ilvl w:val="0"/>
          <w:numId w:val="15"/>
        </w:numPr>
        <w:jc w:val="both"/>
        <w:rPr>
          <w:rStyle w:val="Hipervnculo"/>
          <w:rFonts w:ascii="Tahoma" w:hAnsi="Tahoma" w:cs="Tahoma"/>
          <w:color w:val="003086"/>
          <w:u w:val="none"/>
        </w:rPr>
      </w:pPr>
      <w:r w:rsidRPr="004E7465">
        <w:rPr>
          <w:rStyle w:val="Hipervnculo"/>
          <w:rFonts w:ascii="Tahoma" w:hAnsi="Tahoma" w:cs="Tahoma"/>
          <w:color w:val="003086"/>
          <w:u w:val="none"/>
        </w:rPr>
        <w:t xml:space="preserve">A través de su filial en Brasil, ISA </w:t>
      </w:r>
      <w:proofErr w:type="spellStart"/>
      <w:r w:rsidRPr="004E7465">
        <w:rPr>
          <w:rStyle w:val="Hipervnculo"/>
          <w:rFonts w:ascii="Tahoma" w:hAnsi="Tahoma" w:cs="Tahoma"/>
          <w:color w:val="003086"/>
          <w:u w:val="none"/>
        </w:rPr>
        <w:t>CTEEP</w:t>
      </w:r>
      <w:proofErr w:type="spellEnd"/>
      <w:r w:rsidRPr="004E7465">
        <w:rPr>
          <w:rStyle w:val="Hipervnculo"/>
          <w:rFonts w:ascii="Tahoma" w:hAnsi="Tahoma" w:cs="Tahoma"/>
          <w:color w:val="003086"/>
          <w:u w:val="none"/>
        </w:rPr>
        <w:t xml:space="preserve">, el grupo firma un acuerdo para adquirir el 100% de las acciones de </w:t>
      </w:r>
      <w:proofErr w:type="spellStart"/>
      <w:r w:rsidRPr="004E7465">
        <w:rPr>
          <w:rStyle w:val="Hipervnculo"/>
          <w:rFonts w:ascii="Tahoma" w:hAnsi="Tahoma" w:cs="Tahoma"/>
          <w:color w:val="003086"/>
          <w:u w:val="none"/>
        </w:rPr>
        <w:t>Piratininga-Bandeirantes</w:t>
      </w:r>
      <w:proofErr w:type="spellEnd"/>
      <w:r w:rsidRPr="004E7465">
        <w:rPr>
          <w:rStyle w:val="Hipervnculo"/>
          <w:rFonts w:ascii="Tahoma" w:hAnsi="Tahoma" w:cs="Tahoma"/>
          <w:color w:val="003086"/>
          <w:u w:val="none"/>
        </w:rPr>
        <w:t xml:space="preserve"> </w:t>
      </w:r>
      <w:proofErr w:type="spellStart"/>
      <w:r w:rsidRPr="004E7465">
        <w:rPr>
          <w:rStyle w:val="Hipervnculo"/>
          <w:rFonts w:ascii="Tahoma" w:hAnsi="Tahoma" w:cs="Tahoma"/>
          <w:color w:val="003086"/>
          <w:u w:val="none"/>
        </w:rPr>
        <w:t>Transmissora</w:t>
      </w:r>
      <w:proofErr w:type="spellEnd"/>
      <w:r w:rsidRPr="004E7465">
        <w:rPr>
          <w:rStyle w:val="Hipervnculo"/>
          <w:rFonts w:ascii="Tahoma" w:hAnsi="Tahoma" w:cs="Tahoma"/>
          <w:color w:val="003086"/>
          <w:u w:val="none"/>
        </w:rPr>
        <w:t xml:space="preserve"> de </w:t>
      </w:r>
      <w:proofErr w:type="spellStart"/>
      <w:r w:rsidRPr="004E7465">
        <w:rPr>
          <w:rStyle w:val="Hipervnculo"/>
          <w:rFonts w:ascii="Tahoma" w:hAnsi="Tahoma" w:cs="Tahoma"/>
          <w:color w:val="003086"/>
          <w:u w:val="none"/>
        </w:rPr>
        <w:t>Energia</w:t>
      </w:r>
      <w:proofErr w:type="spellEnd"/>
      <w:r w:rsidRPr="004E7465">
        <w:rPr>
          <w:rStyle w:val="Hipervnculo"/>
          <w:rFonts w:ascii="Tahoma" w:hAnsi="Tahoma" w:cs="Tahoma"/>
          <w:color w:val="003086"/>
          <w:u w:val="none"/>
        </w:rPr>
        <w:t xml:space="preserve"> (</w:t>
      </w:r>
      <w:proofErr w:type="spellStart"/>
      <w:r w:rsidRPr="004E7465">
        <w:rPr>
          <w:rStyle w:val="Hipervnculo"/>
          <w:rFonts w:ascii="Tahoma" w:hAnsi="Tahoma" w:cs="Tahoma"/>
          <w:color w:val="003086"/>
          <w:u w:val="none"/>
        </w:rPr>
        <w:t>PBTE</w:t>
      </w:r>
      <w:proofErr w:type="spellEnd"/>
      <w:r w:rsidRPr="004E7465">
        <w:rPr>
          <w:rStyle w:val="Hipervnculo"/>
          <w:rFonts w:ascii="Tahoma" w:hAnsi="Tahoma" w:cs="Tahoma"/>
          <w:color w:val="003086"/>
          <w:u w:val="none"/>
        </w:rPr>
        <w:t>).</w:t>
      </w:r>
    </w:p>
    <w:p w14:paraId="2DA5424A" w14:textId="77777777" w:rsidR="004E7465" w:rsidRPr="004E7465" w:rsidRDefault="004E7465" w:rsidP="004E7465">
      <w:pPr>
        <w:pStyle w:val="Prrafodelista"/>
        <w:numPr>
          <w:ilvl w:val="0"/>
          <w:numId w:val="15"/>
        </w:numPr>
        <w:rPr>
          <w:rStyle w:val="Hipervnculo"/>
          <w:rFonts w:ascii="Tahoma" w:hAnsi="Tahoma" w:cs="Tahoma"/>
          <w:color w:val="003086"/>
          <w:u w:val="none"/>
        </w:rPr>
      </w:pPr>
      <w:r w:rsidRPr="004E7465">
        <w:rPr>
          <w:rFonts w:ascii="Tahoma" w:hAnsi="Tahoma" w:cs="Tahoma"/>
          <w:color w:val="003086"/>
        </w:rPr>
        <w:t>La compañía tiene un margen EBITDA que supera el 90%.</w:t>
      </w:r>
    </w:p>
    <w:p w14:paraId="37ECECBF" w14:textId="5D773860" w:rsidR="004E7465" w:rsidRDefault="004E7465" w:rsidP="004E7465">
      <w:pPr>
        <w:pStyle w:val="Prrafodelista"/>
        <w:numPr>
          <w:ilvl w:val="0"/>
          <w:numId w:val="15"/>
        </w:numPr>
        <w:spacing w:after="0"/>
        <w:jc w:val="both"/>
        <w:rPr>
          <w:rStyle w:val="Hipervnculo"/>
          <w:rFonts w:ascii="Tahoma" w:hAnsi="Tahoma" w:cs="Tahoma"/>
          <w:color w:val="003086"/>
          <w:u w:val="none"/>
        </w:rPr>
      </w:pPr>
      <w:r w:rsidRPr="004E7465">
        <w:rPr>
          <w:rStyle w:val="Hipervnculo"/>
          <w:rFonts w:ascii="Tahoma" w:hAnsi="Tahoma" w:cs="Tahoma"/>
          <w:color w:val="003086"/>
          <w:u w:val="none"/>
        </w:rPr>
        <w:t xml:space="preserve">Con esta nueva compañía, Grupo ISA reafirma su posición relevante en el estado de São Paulo. </w:t>
      </w:r>
    </w:p>
    <w:p w14:paraId="41BA910B" w14:textId="008C5F22" w:rsidR="004E7465" w:rsidRDefault="004E7465" w:rsidP="004E7465">
      <w:pPr>
        <w:pStyle w:val="Prrafodelista"/>
        <w:spacing w:after="0"/>
        <w:jc w:val="both"/>
        <w:rPr>
          <w:rStyle w:val="Hipervnculo"/>
          <w:rFonts w:ascii="Tahoma" w:hAnsi="Tahoma" w:cs="Tahoma"/>
          <w:color w:val="003086"/>
          <w:u w:val="none"/>
        </w:rPr>
      </w:pPr>
    </w:p>
    <w:p w14:paraId="03F9E565" w14:textId="1CFCDEAF" w:rsidR="00567C43" w:rsidRPr="00567C43" w:rsidRDefault="00567C43" w:rsidP="00567C43">
      <w:pPr>
        <w:spacing w:after="0"/>
        <w:jc w:val="both"/>
        <w:rPr>
          <w:rStyle w:val="Hipervnculo"/>
          <w:rFonts w:ascii="Tahoma" w:hAnsi="Tahoma" w:cs="Tahoma"/>
          <w:color w:val="003086"/>
          <w:u w:val="none"/>
        </w:rPr>
      </w:pPr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ISA </w:t>
      </w:r>
      <w:proofErr w:type="spellStart"/>
      <w:r w:rsidRPr="00567C43">
        <w:rPr>
          <w:rStyle w:val="Hipervnculo"/>
          <w:rFonts w:ascii="Tahoma" w:hAnsi="Tahoma" w:cs="Tahoma"/>
          <w:color w:val="003086"/>
          <w:u w:val="none"/>
        </w:rPr>
        <w:t>CTEEP</w:t>
      </w:r>
      <w:proofErr w:type="spellEnd"/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 firmó un acuerdo para adquirir el </w:t>
      </w:r>
      <w:r w:rsidRPr="00567C43">
        <w:rPr>
          <w:rStyle w:val="Hipervnculo"/>
          <w:rFonts w:ascii="Tahoma" w:hAnsi="Tahoma"/>
          <w:color w:val="003086"/>
          <w:u w:val="none"/>
        </w:rPr>
        <w:t xml:space="preserve">100% de las acciones de </w:t>
      </w:r>
      <w:proofErr w:type="spellStart"/>
      <w:r w:rsidRPr="00567C43">
        <w:rPr>
          <w:rStyle w:val="Hipervnculo"/>
          <w:rFonts w:ascii="Tahoma" w:hAnsi="Tahoma"/>
          <w:color w:val="003086"/>
          <w:u w:val="none"/>
        </w:rPr>
        <w:t>Piratininga</w:t>
      </w:r>
      <w:proofErr w:type="spellEnd"/>
      <w:r w:rsidRPr="00567C43">
        <w:rPr>
          <w:rStyle w:val="Hipervnculo"/>
          <w:rFonts w:ascii="Tahoma" w:hAnsi="Tahoma" w:cs="Tahoma"/>
          <w:color w:val="003086"/>
          <w:u w:val="none"/>
        </w:rPr>
        <w:t>-</w:t>
      </w:r>
      <w:r w:rsidRPr="00567C43">
        <w:rPr>
          <w:rStyle w:val="Hipervnculo"/>
          <w:rFonts w:ascii="Tahoma" w:hAnsi="Tahoma"/>
          <w:color w:val="003086"/>
          <w:u w:val="none"/>
        </w:rPr>
        <w:t xml:space="preserve"> </w:t>
      </w:r>
      <w:proofErr w:type="spellStart"/>
      <w:r w:rsidRPr="00567C43">
        <w:rPr>
          <w:rStyle w:val="Hipervnculo"/>
          <w:rFonts w:ascii="Tahoma" w:hAnsi="Tahoma"/>
          <w:color w:val="003086"/>
          <w:u w:val="none"/>
        </w:rPr>
        <w:t>Bandeirantes</w:t>
      </w:r>
      <w:proofErr w:type="spellEnd"/>
      <w:r w:rsidRPr="00567C43">
        <w:rPr>
          <w:rStyle w:val="Hipervnculo"/>
          <w:rFonts w:ascii="Tahoma" w:hAnsi="Tahoma"/>
          <w:color w:val="003086"/>
          <w:u w:val="none"/>
        </w:rPr>
        <w:t xml:space="preserve"> </w:t>
      </w:r>
      <w:proofErr w:type="spellStart"/>
      <w:r w:rsidRPr="00567C43">
        <w:rPr>
          <w:rStyle w:val="Hipervnculo"/>
          <w:rFonts w:ascii="Tahoma" w:hAnsi="Tahoma"/>
          <w:color w:val="003086"/>
          <w:u w:val="none"/>
        </w:rPr>
        <w:t>Transmissora</w:t>
      </w:r>
      <w:proofErr w:type="spellEnd"/>
      <w:r w:rsidRPr="00567C43">
        <w:rPr>
          <w:rStyle w:val="Hipervnculo"/>
          <w:rFonts w:ascii="Tahoma" w:hAnsi="Tahoma"/>
          <w:color w:val="003086"/>
          <w:u w:val="none"/>
        </w:rPr>
        <w:t xml:space="preserve"> de </w:t>
      </w:r>
      <w:proofErr w:type="spellStart"/>
      <w:r w:rsidRPr="00567C43">
        <w:rPr>
          <w:rStyle w:val="Hipervnculo"/>
          <w:rFonts w:ascii="Tahoma" w:hAnsi="Tahoma"/>
          <w:color w:val="003086"/>
          <w:u w:val="none"/>
        </w:rPr>
        <w:t>Energia</w:t>
      </w:r>
      <w:proofErr w:type="spellEnd"/>
      <w:r w:rsidRPr="00567C43">
        <w:rPr>
          <w:rStyle w:val="Hipervnculo"/>
          <w:rFonts w:ascii="Tahoma" w:hAnsi="Tahoma"/>
          <w:color w:val="003086"/>
          <w:u w:val="none"/>
        </w:rPr>
        <w:t xml:space="preserve"> (</w:t>
      </w:r>
      <w:proofErr w:type="spellStart"/>
      <w:r w:rsidRPr="00567C43">
        <w:rPr>
          <w:rStyle w:val="Hipervnculo"/>
          <w:rFonts w:ascii="Tahoma" w:hAnsi="Tahoma"/>
          <w:color w:val="003086"/>
          <w:u w:val="none"/>
        </w:rPr>
        <w:t>PBTE</w:t>
      </w:r>
      <w:proofErr w:type="spellEnd"/>
      <w:r w:rsidRPr="00567C43">
        <w:rPr>
          <w:rStyle w:val="Hipervnculo"/>
          <w:rFonts w:ascii="Tahoma" w:hAnsi="Tahoma"/>
          <w:color w:val="003086"/>
          <w:u w:val="none"/>
        </w:rPr>
        <w:t xml:space="preserve">) a través de la compra </w:t>
      </w:r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de las participaciones que </w:t>
      </w:r>
      <w:proofErr w:type="spellStart"/>
      <w:r w:rsidRPr="00567C43">
        <w:rPr>
          <w:rStyle w:val="Hipervnculo"/>
          <w:rFonts w:ascii="Tahoma" w:hAnsi="Tahoma"/>
          <w:color w:val="003086"/>
          <w:u w:val="none"/>
        </w:rPr>
        <w:t>SF</w:t>
      </w:r>
      <w:proofErr w:type="spellEnd"/>
      <w:r w:rsidRPr="00567C43">
        <w:rPr>
          <w:rStyle w:val="Hipervnculo"/>
          <w:rFonts w:ascii="Tahoma" w:hAnsi="Tahoma"/>
          <w:color w:val="003086"/>
          <w:u w:val="none"/>
        </w:rPr>
        <w:t xml:space="preserve"> Energía S.A</w:t>
      </w:r>
      <w:r w:rsidRPr="00567C43">
        <w:rPr>
          <w:rStyle w:val="Hipervnculo"/>
          <w:rFonts w:ascii="Tahoma" w:hAnsi="Tahoma" w:cs="Tahoma"/>
          <w:color w:val="003086"/>
          <w:u w:val="none"/>
        </w:rPr>
        <w:t>. (</w:t>
      </w:r>
      <w:r w:rsidRPr="00567C43">
        <w:rPr>
          <w:rStyle w:val="Hipervnculo"/>
          <w:rFonts w:ascii="Tahoma" w:hAnsi="Tahoma"/>
          <w:color w:val="003086"/>
          <w:u w:val="none"/>
        </w:rPr>
        <w:t>93</w:t>
      </w:r>
      <w:r w:rsidRPr="00567C43">
        <w:rPr>
          <w:rStyle w:val="Hipervnculo"/>
          <w:rFonts w:ascii="Tahoma" w:hAnsi="Tahoma" w:cs="Tahoma"/>
          <w:color w:val="003086"/>
          <w:u w:val="none"/>
        </w:rPr>
        <w:t>%)</w:t>
      </w:r>
      <w:r w:rsidRPr="00567C43">
        <w:rPr>
          <w:rStyle w:val="Hipervnculo"/>
          <w:rFonts w:ascii="Tahoma" w:hAnsi="Tahoma"/>
          <w:color w:val="003086"/>
          <w:u w:val="none"/>
        </w:rPr>
        <w:t xml:space="preserve"> y </w:t>
      </w:r>
      <w:proofErr w:type="spellStart"/>
      <w:r w:rsidRPr="00567C43">
        <w:rPr>
          <w:rStyle w:val="Hipervnculo"/>
          <w:rFonts w:ascii="Tahoma" w:hAnsi="Tahoma"/>
          <w:color w:val="003086"/>
          <w:u w:val="none"/>
        </w:rPr>
        <w:t>Kavom</w:t>
      </w:r>
      <w:proofErr w:type="spellEnd"/>
      <w:r w:rsidRPr="00567C43">
        <w:rPr>
          <w:rStyle w:val="Hipervnculo"/>
          <w:rFonts w:ascii="Tahoma" w:hAnsi="Tahoma"/>
          <w:color w:val="003086"/>
          <w:u w:val="none"/>
        </w:rPr>
        <w:t xml:space="preserve"> Energía (7</w:t>
      </w:r>
      <w:r w:rsidRPr="00567C43">
        <w:rPr>
          <w:rStyle w:val="Hipervnculo"/>
          <w:rFonts w:ascii="Tahoma" w:hAnsi="Tahoma" w:cs="Tahoma"/>
          <w:color w:val="003086"/>
          <w:u w:val="none"/>
        </w:rPr>
        <w:t>%)</w:t>
      </w:r>
      <w:r w:rsidRPr="00567C43">
        <w:t xml:space="preserve"> </w:t>
      </w:r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tenían en esta compañía. </w:t>
      </w:r>
      <w:proofErr w:type="gramStart"/>
      <w:r w:rsidRPr="00567C43">
        <w:rPr>
          <w:rStyle w:val="Hipervnculo"/>
          <w:rFonts w:ascii="Tahoma" w:hAnsi="Tahoma" w:cs="Tahoma"/>
          <w:color w:val="003086"/>
          <w:u w:val="none"/>
        </w:rPr>
        <w:t>El valor a pagar</w:t>
      </w:r>
      <w:proofErr w:type="gramEnd"/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 por las acciones será de R$ </w:t>
      </w:r>
      <w:r w:rsidRPr="00567C43">
        <w:rPr>
          <w:rStyle w:val="Hipervnculo"/>
          <w:rFonts w:ascii="Tahoma" w:hAnsi="Tahoma"/>
          <w:color w:val="003086"/>
          <w:u w:val="none"/>
        </w:rPr>
        <w:t>1.</w:t>
      </w:r>
      <w:r w:rsidRPr="00567C43">
        <w:rPr>
          <w:rStyle w:val="Hipervnculo"/>
          <w:rFonts w:ascii="Tahoma" w:hAnsi="Tahoma" w:cs="Tahoma"/>
          <w:color w:val="003086"/>
          <w:u w:val="none"/>
        </w:rPr>
        <w:t>59</w:t>
      </w:r>
      <w:r w:rsidR="007F495D">
        <w:rPr>
          <w:rStyle w:val="Hipervnculo"/>
          <w:rFonts w:ascii="Tahoma" w:hAnsi="Tahoma" w:cs="Tahoma"/>
          <w:color w:val="003086"/>
          <w:u w:val="none"/>
        </w:rPr>
        <w:t>4</w:t>
      </w:r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 millones que equivalen a cerca de COP 1,1 billones de pesos al tipo de cambio del </w:t>
      </w:r>
      <w:r w:rsidR="00AF77E3">
        <w:rPr>
          <w:rStyle w:val="Hipervnculo"/>
          <w:rFonts w:ascii="Tahoma" w:hAnsi="Tahoma" w:cs="Tahoma"/>
          <w:color w:val="003086"/>
          <w:u w:val="none"/>
        </w:rPr>
        <w:t>01</w:t>
      </w:r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 de </w:t>
      </w:r>
      <w:r w:rsidR="00AF77E3">
        <w:rPr>
          <w:rStyle w:val="Hipervnculo"/>
          <w:rFonts w:ascii="Tahoma" w:hAnsi="Tahoma" w:cs="Tahoma"/>
          <w:color w:val="003086"/>
          <w:u w:val="none"/>
        </w:rPr>
        <w:t>diciembre</w:t>
      </w:r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 de 2020. </w:t>
      </w:r>
      <w:proofErr w:type="spellStart"/>
      <w:r w:rsidRPr="00567C43">
        <w:rPr>
          <w:rStyle w:val="Hipervnculo"/>
          <w:rFonts w:ascii="Tahoma" w:hAnsi="Tahoma" w:cs="Tahoma"/>
          <w:color w:val="003086"/>
          <w:u w:val="none"/>
        </w:rPr>
        <w:t>PBTE</w:t>
      </w:r>
      <w:proofErr w:type="spellEnd"/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 es dueño de una de una línea de transmisión </w:t>
      </w:r>
      <w:r w:rsidRPr="00567C43">
        <w:rPr>
          <w:rFonts w:ascii="Tahoma" w:hAnsi="Tahoma" w:cs="Tahoma"/>
          <w:color w:val="003086"/>
        </w:rPr>
        <w:t xml:space="preserve">subterránea de 30 kilómetros (15 km de doble circuito), que conecta dos subestaciones de ISA </w:t>
      </w:r>
      <w:proofErr w:type="spellStart"/>
      <w:r w:rsidRPr="00567C43">
        <w:rPr>
          <w:rFonts w:ascii="Tahoma" w:hAnsi="Tahoma" w:cs="Tahoma"/>
          <w:color w:val="003086"/>
        </w:rPr>
        <w:t>CTEEP</w:t>
      </w:r>
      <w:proofErr w:type="spellEnd"/>
      <w:r w:rsidRPr="00567C43">
        <w:rPr>
          <w:rFonts w:ascii="Tahoma" w:hAnsi="Tahoma" w:cs="Tahoma"/>
          <w:color w:val="003086"/>
        </w:rPr>
        <w:t xml:space="preserve"> en la ciudad de São Paulo; concesión</w:t>
      </w:r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 que fue adjudicada en subasta pública realizada por la </w:t>
      </w:r>
      <w:proofErr w:type="spellStart"/>
      <w:r w:rsidRPr="00567C43">
        <w:rPr>
          <w:rStyle w:val="Hipervnculo"/>
          <w:rFonts w:ascii="Tahoma" w:hAnsi="Tahoma" w:cs="Tahoma"/>
          <w:color w:val="003086"/>
          <w:u w:val="none"/>
        </w:rPr>
        <w:t>Agência</w:t>
      </w:r>
      <w:proofErr w:type="spellEnd"/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 Nacional de </w:t>
      </w:r>
      <w:proofErr w:type="spellStart"/>
      <w:r w:rsidRPr="00567C43">
        <w:rPr>
          <w:rStyle w:val="Hipervnculo"/>
          <w:rFonts w:ascii="Tahoma" w:hAnsi="Tahoma" w:cs="Tahoma"/>
          <w:color w:val="003086"/>
          <w:u w:val="none"/>
        </w:rPr>
        <w:t>Energia</w:t>
      </w:r>
      <w:proofErr w:type="spellEnd"/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 </w:t>
      </w:r>
      <w:proofErr w:type="spellStart"/>
      <w:r w:rsidRPr="00567C43">
        <w:rPr>
          <w:rStyle w:val="Hipervnculo"/>
          <w:rFonts w:ascii="Tahoma" w:hAnsi="Tahoma" w:cs="Tahoma"/>
          <w:color w:val="003086"/>
          <w:u w:val="none"/>
        </w:rPr>
        <w:t>Elétrica</w:t>
      </w:r>
      <w:proofErr w:type="spellEnd"/>
      <w:r w:rsidRPr="00567C43">
        <w:rPr>
          <w:rStyle w:val="Hipervnculo"/>
          <w:rFonts w:ascii="Tahoma" w:hAnsi="Tahoma" w:cs="Tahoma"/>
          <w:color w:val="003086"/>
          <w:u w:val="none"/>
        </w:rPr>
        <w:t xml:space="preserve"> (</w:t>
      </w:r>
      <w:proofErr w:type="spellStart"/>
      <w:r w:rsidRPr="00567C43">
        <w:rPr>
          <w:rStyle w:val="Hipervnculo"/>
          <w:rFonts w:ascii="Tahoma" w:hAnsi="Tahoma" w:cs="Tahoma"/>
          <w:color w:val="003086"/>
          <w:u w:val="none"/>
        </w:rPr>
        <w:t>ANEEL</w:t>
      </w:r>
      <w:proofErr w:type="spellEnd"/>
      <w:r w:rsidRPr="00567C43">
        <w:rPr>
          <w:rStyle w:val="Hipervnculo"/>
          <w:rFonts w:ascii="Tahoma" w:hAnsi="Tahoma" w:cs="Tahoma"/>
          <w:color w:val="003086"/>
          <w:u w:val="none"/>
        </w:rPr>
        <w:t>) en 2016.</w:t>
      </w:r>
    </w:p>
    <w:p w14:paraId="24E1FFB7" w14:textId="77777777" w:rsidR="00567C43" w:rsidRDefault="00567C43" w:rsidP="00567C43">
      <w:pPr>
        <w:spacing w:after="0"/>
        <w:jc w:val="both"/>
        <w:rPr>
          <w:rStyle w:val="Hipervnculo"/>
          <w:rFonts w:ascii="Tahoma" w:hAnsi="Tahoma" w:cs="Tahoma"/>
          <w:color w:val="003086"/>
        </w:rPr>
      </w:pPr>
    </w:p>
    <w:p w14:paraId="0D1BCB2A" w14:textId="77777777" w:rsidR="00567C43" w:rsidRDefault="00567C43" w:rsidP="00567C43">
      <w:pPr>
        <w:spacing w:after="0"/>
        <w:jc w:val="both"/>
        <w:rPr>
          <w:rFonts w:ascii="Tahoma" w:hAnsi="Tahoma" w:cs="Tahoma"/>
          <w:color w:val="003086"/>
        </w:rPr>
      </w:pPr>
      <w:r w:rsidRPr="00B96733">
        <w:rPr>
          <w:rFonts w:ascii="Tahoma" w:hAnsi="Tahoma" w:cs="Tahoma"/>
          <w:color w:val="003086"/>
        </w:rPr>
        <w:t>El cierre de esta transacción</w:t>
      </w:r>
      <w:r w:rsidRPr="00294272">
        <w:rPr>
          <w:rFonts w:ascii="Tahoma" w:hAnsi="Tahoma" w:cs="Tahoma"/>
          <w:color w:val="003086"/>
        </w:rPr>
        <w:t xml:space="preserve"> está sujet</w:t>
      </w:r>
      <w:r>
        <w:rPr>
          <w:rFonts w:ascii="Tahoma" w:hAnsi="Tahoma" w:cs="Tahoma"/>
          <w:color w:val="003086"/>
        </w:rPr>
        <w:t>o</w:t>
      </w:r>
      <w:r w:rsidRPr="00294272">
        <w:rPr>
          <w:rFonts w:ascii="Tahoma" w:hAnsi="Tahoma" w:cs="Tahoma"/>
          <w:color w:val="003086"/>
        </w:rPr>
        <w:t xml:space="preserve"> a los términos y condiciones usuales en este tipo de operaciones, incluyendo, entre otros, la autorización de entidades del gobierno brasileño como el </w:t>
      </w:r>
      <w:proofErr w:type="spellStart"/>
      <w:r w:rsidRPr="00294272">
        <w:rPr>
          <w:rFonts w:ascii="Tahoma" w:hAnsi="Tahoma" w:cs="Tahoma"/>
          <w:color w:val="003086"/>
        </w:rPr>
        <w:t>Conselho</w:t>
      </w:r>
      <w:proofErr w:type="spellEnd"/>
      <w:r w:rsidRPr="00294272">
        <w:rPr>
          <w:rFonts w:ascii="Tahoma" w:hAnsi="Tahoma" w:cs="Tahoma"/>
          <w:color w:val="003086"/>
        </w:rPr>
        <w:t xml:space="preserve"> Administrativo de Defesa da </w:t>
      </w:r>
      <w:proofErr w:type="spellStart"/>
      <w:r w:rsidRPr="00294272">
        <w:rPr>
          <w:rFonts w:ascii="Tahoma" w:hAnsi="Tahoma" w:cs="Tahoma"/>
          <w:color w:val="003086"/>
        </w:rPr>
        <w:t>Concorrência</w:t>
      </w:r>
      <w:proofErr w:type="spellEnd"/>
      <w:r w:rsidRPr="00294272">
        <w:rPr>
          <w:rFonts w:ascii="Tahoma" w:hAnsi="Tahoma" w:cs="Tahoma"/>
          <w:color w:val="003086"/>
        </w:rPr>
        <w:t xml:space="preserve"> </w:t>
      </w:r>
      <w:r>
        <w:rPr>
          <w:rFonts w:ascii="Tahoma" w:hAnsi="Tahoma" w:cs="Tahoma"/>
          <w:color w:val="003086"/>
        </w:rPr>
        <w:t>(</w:t>
      </w:r>
      <w:r w:rsidRPr="00294272">
        <w:rPr>
          <w:rFonts w:ascii="Tahoma" w:hAnsi="Tahoma" w:cs="Tahoma"/>
          <w:color w:val="003086"/>
        </w:rPr>
        <w:t>CADE</w:t>
      </w:r>
      <w:r>
        <w:rPr>
          <w:rFonts w:ascii="Tahoma" w:hAnsi="Tahoma" w:cs="Tahoma"/>
          <w:color w:val="003086"/>
        </w:rPr>
        <w:t>)</w:t>
      </w:r>
      <w:r w:rsidRPr="00294272">
        <w:rPr>
          <w:rFonts w:ascii="Tahoma" w:hAnsi="Tahoma" w:cs="Tahoma"/>
          <w:color w:val="003086"/>
        </w:rPr>
        <w:t xml:space="preserve"> y </w:t>
      </w:r>
      <w:proofErr w:type="spellStart"/>
      <w:r w:rsidRPr="00294272">
        <w:rPr>
          <w:rFonts w:ascii="Tahoma" w:hAnsi="Tahoma" w:cs="Tahoma"/>
          <w:color w:val="003086"/>
        </w:rPr>
        <w:t>ANEEL</w:t>
      </w:r>
      <w:proofErr w:type="spellEnd"/>
      <w:r w:rsidRPr="00294272">
        <w:rPr>
          <w:rFonts w:ascii="Tahoma" w:hAnsi="Tahoma" w:cs="Tahoma"/>
          <w:color w:val="003086"/>
        </w:rPr>
        <w:t>.</w:t>
      </w:r>
    </w:p>
    <w:p w14:paraId="7E4DC483" w14:textId="77777777" w:rsidR="00567C43" w:rsidRDefault="00567C43" w:rsidP="00567C43">
      <w:pPr>
        <w:spacing w:after="0"/>
        <w:jc w:val="both"/>
        <w:rPr>
          <w:rFonts w:ascii="Tahoma" w:hAnsi="Tahoma" w:cs="Tahoma"/>
          <w:color w:val="003086"/>
        </w:rPr>
      </w:pPr>
    </w:p>
    <w:p w14:paraId="0878CB45" w14:textId="77777777" w:rsidR="00567C43" w:rsidRDefault="00567C43" w:rsidP="00567C43">
      <w:pPr>
        <w:jc w:val="both"/>
        <w:rPr>
          <w:rFonts w:ascii="Tahoma" w:hAnsi="Tahoma" w:cs="Tahoma"/>
          <w:color w:val="003086"/>
        </w:rPr>
      </w:pPr>
      <w:r w:rsidDel="00B000F8">
        <w:rPr>
          <w:rFonts w:ascii="Tahoma" w:hAnsi="Tahoma" w:cs="Tahoma"/>
          <w:color w:val="003086"/>
        </w:rPr>
        <w:t xml:space="preserve"> </w:t>
      </w:r>
      <w:r w:rsidRPr="009C36DA">
        <w:rPr>
          <w:rFonts w:ascii="Tahoma" w:hAnsi="Tahoma" w:cs="Tahoma"/>
          <w:color w:val="003086"/>
        </w:rPr>
        <w:t>“</w:t>
      </w:r>
      <w:r>
        <w:rPr>
          <w:rFonts w:ascii="Tahoma" w:hAnsi="Tahoma" w:cs="Tahoma"/>
          <w:i/>
          <w:iCs/>
          <w:color w:val="003086"/>
        </w:rPr>
        <w:t xml:space="preserve">Esta adquisición que </w:t>
      </w:r>
      <w:r w:rsidRPr="002D4B29">
        <w:rPr>
          <w:rFonts w:ascii="Tahoma" w:hAnsi="Tahoma" w:cs="Tahoma"/>
          <w:i/>
          <w:iCs/>
          <w:color w:val="003086"/>
        </w:rPr>
        <w:t xml:space="preserve">representará un incremento de 4% en los ingresos totales de ISA </w:t>
      </w:r>
      <w:proofErr w:type="spellStart"/>
      <w:r w:rsidRPr="002D4B29">
        <w:rPr>
          <w:rFonts w:ascii="Tahoma" w:hAnsi="Tahoma" w:cs="Tahoma"/>
          <w:i/>
          <w:iCs/>
          <w:color w:val="003086"/>
        </w:rPr>
        <w:t>CTEEP</w:t>
      </w:r>
      <w:proofErr w:type="spellEnd"/>
      <w:r w:rsidRPr="002D4B29">
        <w:rPr>
          <w:rFonts w:ascii="Tahoma" w:hAnsi="Tahoma" w:cs="Tahoma"/>
          <w:i/>
          <w:iCs/>
          <w:color w:val="003086"/>
        </w:rPr>
        <w:t xml:space="preserve"> tiene un potencial de obtención de sinergias operativas en el corto plazo por su ubicación estratégica </w:t>
      </w:r>
      <w:r>
        <w:rPr>
          <w:rFonts w:ascii="Tahoma" w:hAnsi="Tahoma" w:cs="Tahoma"/>
          <w:i/>
          <w:iCs/>
          <w:color w:val="003086"/>
        </w:rPr>
        <w:t xml:space="preserve">que conecta dos subestaciones </w:t>
      </w:r>
      <w:r w:rsidRPr="002D4B29">
        <w:rPr>
          <w:rFonts w:ascii="Tahoma" w:hAnsi="Tahoma" w:cs="Tahoma"/>
          <w:i/>
          <w:iCs/>
          <w:color w:val="003086"/>
        </w:rPr>
        <w:t>de nuestra filial. En Brasil vemos grandes oportunidades, las cuales siempre evaluamos a profundidad antes de tomar una decisión de inversión, buscando un adecuado equilibrio entre riesgo y rentabilidad. Estamos comprometidos con seguir aportando a la calidad de vida y desarrollo de los brasileros</w:t>
      </w:r>
      <w:r>
        <w:rPr>
          <w:rFonts w:ascii="Tahoma" w:hAnsi="Tahoma" w:cs="Tahoma"/>
          <w:color w:val="003086"/>
        </w:rPr>
        <w:t xml:space="preserve">”, señalo Bernardo Vargas. </w:t>
      </w:r>
    </w:p>
    <w:p w14:paraId="242A4085" w14:textId="062920C7" w:rsidR="00567C43" w:rsidRPr="004E7465" w:rsidRDefault="00567C43" w:rsidP="008163AD">
      <w:pPr>
        <w:jc w:val="both"/>
        <w:rPr>
          <w:rStyle w:val="Hipervnculo"/>
          <w:rFonts w:ascii="Tahoma" w:hAnsi="Tahoma" w:cs="Tahoma"/>
          <w:color w:val="003086"/>
          <w:u w:val="none"/>
        </w:rPr>
      </w:pPr>
      <w:r w:rsidRPr="006A55EB">
        <w:rPr>
          <w:rFonts w:ascii="Tahoma" w:hAnsi="Tahoma" w:cs="Tahoma"/>
          <w:color w:val="003086"/>
        </w:rPr>
        <w:t>Grupo ISA transport</w:t>
      </w:r>
      <w:r>
        <w:rPr>
          <w:rFonts w:ascii="Tahoma" w:hAnsi="Tahoma" w:cs="Tahoma"/>
          <w:color w:val="003086"/>
        </w:rPr>
        <w:t>a</w:t>
      </w:r>
      <w:r w:rsidRPr="006A55EB">
        <w:rPr>
          <w:rFonts w:ascii="Tahoma" w:hAnsi="Tahoma" w:cs="Tahoma"/>
          <w:color w:val="003086"/>
        </w:rPr>
        <w:t xml:space="preserve"> cerca del </w:t>
      </w:r>
      <w:r w:rsidRPr="002C4C8B">
        <w:rPr>
          <w:rFonts w:ascii="Tahoma" w:hAnsi="Tahoma" w:cs="Tahoma"/>
          <w:color w:val="003086"/>
        </w:rPr>
        <w:t>33%</w:t>
      </w:r>
      <w:r w:rsidRPr="006A55EB">
        <w:rPr>
          <w:rFonts w:ascii="Tahoma" w:hAnsi="Tahoma" w:cs="Tahoma"/>
          <w:color w:val="003086"/>
        </w:rPr>
        <w:t xml:space="preserve"> de la energía eléctrica producida en el país, el </w:t>
      </w:r>
      <w:r w:rsidRPr="002C4C8B">
        <w:rPr>
          <w:rFonts w:ascii="Tahoma" w:hAnsi="Tahoma" w:cs="Tahoma"/>
          <w:color w:val="003086"/>
        </w:rPr>
        <w:t>60%</w:t>
      </w:r>
      <w:r w:rsidRPr="006A55EB">
        <w:rPr>
          <w:rFonts w:ascii="Tahoma" w:hAnsi="Tahoma" w:cs="Tahoma"/>
          <w:color w:val="003086"/>
        </w:rPr>
        <w:t xml:space="preserve"> de la energía consumida en la Región Sudeste y el </w:t>
      </w:r>
      <w:r w:rsidRPr="002C4C8B">
        <w:rPr>
          <w:rFonts w:ascii="Tahoma" w:hAnsi="Tahoma" w:cs="Tahoma"/>
          <w:color w:val="003086"/>
        </w:rPr>
        <w:t>94%</w:t>
      </w:r>
      <w:r w:rsidRPr="006A55EB">
        <w:rPr>
          <w:rFonts w:ascii="Tahoma" w:hAnsi="Tahoma" w:cs="Tahoma"/>
          <w:color w:val="003086"/>
        </w:rPr>
        <w:t xml:space="preserve"> de la energía consumida en el estado de São Paulo. En este país opera en </w:t>
      </w:r>
      <w:r w:rsidRPr="002C4C8B">
        <w:rPr>
          <w:rFonts w:ascii="Tahoma" w:hAnsi="Tahoma" w:cs="Tahoma"/>
          <w:color w:val="003086"/>
        </w:rPr>
        <w:t>17 de los 26 estados</w:t>
      </w:r>
      <w:r>
        <w:rPr>
          <w:rFonts w:ascii="Tahoma" w:hAnsi="Tahoma" w:cs="Tahoma"/>
          <w:color w:val="003086"/>
        </w:rPr>
        <w:t xml:space="preserve">, y tiene más de 18.000 km de líneas de transmisión. </w:t>
      </w:r>
      <w:bookmarkStart w:id="0" w:name="_GoBack"/>
      <w:bookmarkEnd w:id="0"/>
    </w:p>
    <w:sectPr w:rsidR="00567C43" w:rsidRPr="004E746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D7D5F" w14:textId="77777777" w:rsidR="00F7649C" w:rsidRDefault="00F7649C" w:rsidP="003E1A39">
      <w:pPr>
        <w:spacing w:after="0" w:line="240" w:lineRule="auto"/>
      </w:pPr>
      <w:r>
        <w:separator/>
      </w:r>
    </w:p>
  </w:endnote>
  <w:endnote w:type="continuationSeparator" w:id="0">
    <w:p w14:paraId="41C49391" w14:textId="77777777" w:rsidR="00F7649C" w:rsidRDefault="00F7649C" w:rsidP="003E1A39">
      <w:pPr>
        <w:spacing w:after="0" w:line="240" w:lineRule="auto"/>
      </w:pPr>
      <w:r>
        <w:continuationSeparator/>
      </w:r>
    </w:p>
  </w:endnote>
  <w:endnote w:type="continuationNotice" w:id="1">
    <w:p w14:paraId="0875B4EA" w14:textId="77777777" w:rsidR="00F7649C" w:rsidRDefault="00F76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A89C" w14:textId="77777777" w:rsidR="00B45D65" w:rsidRPr="000A12A0" w:rsidRDefault="00B45D65" w:rsidP="00B45D65">
    <w:pPr>
      <w:spacing w:after="100"/>
      <w:jc w:val="center"/>
      <w:rPr>
        <w:rFonts w:ascii="Calibri" w:eastAsia="Arial" w:hAnsi="Calibri" w:cs="Calibri"/>
        <w:b/>
        <w:color w:val="022068"/>
        <w:sz w:val="18"/>
        <w:szCs w:val="16"/>
        <w:lang w:val="es-ES"/>
      </w:rPr>
    </w:pPr>
    <w:r w:rsidRPr="000A12A0">
      <w:rPr>
        <w:rFonts w:ascii="Calibri" w:eastAsia="Arial" w:hAnsi="Calibri" w:cs="Calibri"/>
        <w:b/>
        <w:color w:val="022068"/>
        <w:sz w:val="18"/>
        <w:szCs w:val="16"/>
        <w:lang w:val="es-ES"/>
      </w:rPr>
      <w:t xml:space="preserve">INTERCONEXIÓN ELÉCTRICA S.A. </w:t>
    </w:r>
    <w:proofErr w:type="spellStart"/>
    <w:r w:rsidRPr="000A12A0">
      <w:rPr>
        <w:rFonts w:ascii="Calibri" w:eastAsia="Arial" w:hAnsi="Calibri" w:cs="Calibri"/>
        <w:b/>
        <w:color w:val="022068"/>
        <w:sz w:val="18"/>
        <w:szCs w:val="16"/>
        <w:lang w:val="es-ES"/>
      </w:rPr>
      <w:t>E.S.P</w:t>
    </w:r>
    <w:proofErr w:type="spellEnd"/>
    <w:r w:rsidRPr="000A12A0">
      <w:rPr>
        <w:rFonts w:ascii="Calibri" w:hAnsi="Calibri" w:cs="Calibri"/>
        <w:b/>
        <w:color w:val="5EC4E6"/>
        <w:sz w:val="18"/>
        <w:szCs w:val="16"/>
        <w:lang w:val="es-ES"/>
      </w:rPr>
      <w:t xml:space="preserve">   </w:t>
    </w:r>
    <w:proofErr w:type="spellStart"/>
    <w:r w:rsidRPr="000A12A0">
      <w:rPr>
        <w:rFonts w:ascii="Calibri" w:hAnsi="Calibri" w:cs="Calibri"/>
        <w:b/>
        <w:color w:val="0099FF"/>
        <w:sz w:val="18"/>
        <w:szCs w:val="16"/>
        <w:lang w:val="es-ES"/>
      </w:rPr>
      <w:t>NIT</w:t>
    </w:r>
    <w:proofErr w:type="spellEnd"/>
    <w:r w:rsidRPr="000A12A0">
      <w:rPr>
        <w:rFonts w:ascii="Calibri" w:hAnsi="Calibri" w:cs="Calibri"/>
        <w:b/>
        <w:color w:val="0099FF"/>
        <w:sz w:val="18"/>
        <w:szCs w:val="16"/>
        <w:lang w:val="es-ES"/>
      </w:rPr>
      <w:t>:</w:t>
    </w:r>
    <w:r w:rsidRPr="000A12A0">
      <w:rPr>
        <w:rFonts w:ascii="Calibri" w:eastAsia="Arial" w:hAnsi="Calibri" w:cs="Calibri"/>
        <w:b/>
        <w:color w:val="022068"/>
        <w:sz w:val="18"/>
        <w:szCs w:val="16"/>
        <w:lang w:val="es-ES"/>
      </w:rPr>
      <w:t xml:space="preserve"> 860.016.610-3    </w:t>
    </w:r>
    <w:r>
      <w:rPr>
        <w:rFonts w:ascii="Calibri" w:hAnsi="Calibri" w:cs="Calibri"/>
        <w:b/>
        <w:color w:val="0099FF"/>
        <w:sz w:val="18"/>
        <w:szCs w:val="16"/>
        <w:lang w:val="es-ES"/>
      </w:rPr>
      <w:t>Dirección</w:t>
    </w:r>
    <w:r w:rsidRPr="000A12A0">
      <w:rPr>
        <w:rFonts w:ascii="Calibri" w:hAnsi="Calibri" w:cs="Calibri"/>
        <w:b/>
        <w:color w:val="0099FF"/>
        <w:sz w:val="18"/>
        <w:szCs w:val="16"/>
        <w:lang w:val="es-ES"/>
      </w:rPr>
      <w:t>:</w:t>
    </w:r>
    <w:r w:rsidRPr="000A12A0">
      <w:rPr>
        <w:rFonts w:ascii="Calibri" w:eastAsia="Arial" w:hAnsi="Calibri" w:cs="Calibri"/>
        <w:b/>
        <w:color w:val="0099FF"/>
        <w:sz w:val="18"/>
        <w:szCs w:val="16"/>
        <w:lang w:val="es-ES"/>
      </w:rPr>
      <w:t xml:space="preserve"> </w:t>
    </w:r>
    <w:r w:rsidRPr="000A12A0">
      <w:rPr>
        <w:rFonts w:ascii="Calibri" w:eastAsia="Arial" w:hAnsi="Calibri" w:cs="Calibri"/>
        <w:b/>
        <w:color w:val="022068"/>
        <w:sz w:val="18"/>
        <w:szCs w:val="16"/>
        <w:lang w:val="es-ES"/>
      </w:rPr>
      <w:t>Calle 12 Sur 18 – 168.  Medellín, Colombia</w:t>
    </w:r>
  </w:p>
  <w:p w14:paraId="34686DD2" w14:textId="77777777" w:rsidR="00B45D65" w:rsidRPr="00C200EA" w:rsidRDefault="00B45D65" w:rsidP="00B45D65">
    <w:pPr>
      <w:spacing w:after="100"/>
      <w:jc w:val="center"/>
      <w:rPr>
        <w:rFonts w:ascii="Calibri" w:hAnsi="Calibri" w:cs="Calibri"/>
        <w:b/>
        <w:color w:val="5EC4E6"/>
        <w:sz w:val="18"/>
        <w:szCs w:val="16"/>
        <w:lang w:val="en-US"/>
      </w:rPr>
    </w:pPr>
    <w:r w:rsidRPr="00C200EA">
      <w:rPr>
        <w:rFonts w:ascii="Calibri" w:hAnsi="Calibri" w:cs="Calibri"/>
        <w:b/>
        <w:color w:val="0099FF"/>
        <w:sz w:val="18"/>
        <w:szCs w:val="16"/>
        <w:lang w:val="en-US"/>
      </w:rPr>
      <w:t>Tel:</w:t>
    </w:r>
    <w:r w:rsidRPr="00C200EA">
      <w:rPr>
        <w:rFonts w:ascii="Calibri" w:eastAsia="Arial" w:hAnsi="Calibri" w:cs="Calibri"/>
        <w:b/>
        <w:color w:val="022068"/>
        <w:sz w:val="18"/>
        <w:szCs w:val="16"/>
        <w:lang w:val="en-US"/>
      </w:rPr>
      <w:t xml:space="preserve"> + 57 4 3252270     </w:t>
    </w:r>
    <w:r w:rsidRPr="00C200EA">
      <w:rPr>
        <w:rFonts w:ascii="Calibri" w:hAnsi="Calibri" w:cs="Calibri"/>
        <w:b/>
        <w:color w:val="0099FF"/>
        <w:sz w:val="18"/>
        <w:szCs w:val="16"/>
        <w:lang w:val="en-US"/>
      </w:rPr>
      <w:t>Fax:</w:t>
    </w:r>
    <w:r w:rsidRPr="00C200EA">
      <w:rPr>
        <w:rFonts w:ascii="Calibri" w:eastAsia="Arial" w:hAnsi="Calibri" w:cs="Calibri"/>
        <w:b/>
        <w:color w:val="022068"/>
        <w:sz w:val="18"/>
        <w:szCs w:val="16"/>
        <w:lang w:val="en-US"/>
      </w:rPr>
      <w:t xml:space="preserve"> + 57 4 3170848   </w:t>
    </w:r>
    <w:r w:rsidRPr="00C200EA">
      <w:rPr>
        <w:rFonts w:ascii="Calibri" w:eastAsia="Arial" w:hAnsi="Calibri" w:cs="Calibri"/>
        <w:b/>
        <w:color w:val="0099FF"/>
        <w:sz w:val="18"/>
        <w:szCs w:val="16"/>
        <w:lang w:val="en-US"/>
      </w:rPr>
      <w:t xml:space="preserve">  </w:t>
    </w:r>
    <w:r w:rsidRPr="00C200EA">
      <w:rPr>
        <w:rFonts w:ascii="Calibri" w:hAnsi="Calibri" w:cs="Calibri"/>
        <w:b/>
        <w:color w:val="0099FF"/>
        <w:sz w:val="18"/>
        <w:szCs w:val="16"/>
        <w:lang w:val="en-US"/>
      </w:rPr>
      <w:t>A.A</w:t>
    </w:r>
    <w:r w:rsidRPr="00C200EA">
      <w:rPr>
        <w:rFonts w:ascii="Calibri" w:eastAsia="Arial" w:hAnsi="Calibri" w:cs="Calibri"/>
        <w:b/>
        <w:color w:val="0099FF"/>
        <w:sz w:val="18"/>
        <w:szCs w:val="16"/>
        <w:lang w:val="en-US"/>
      </w:rPr>
      <w:t>.</w:t>
    </w:r>
    <w:r w:rsidRPr="00C200EA">
      <w:rPr>
        <w:rFonts w:ascii="Calibri" w:eastAsia="Arial" w:hAnsi="Calibri" w:cs="Calibri"/>
        <w:b/>
        <w:color w:val="022068"/>
        <w:sz w:val="18"/>
        <w:szCs w:val="16"/>
        <w:lang w:val="en-US"/>
      </w:rPr>
      <w:t xml:space="preserve"> 8915     </w:t>
    </w:r>
    <w:r w:rsidRPr="00C200EA">
      <w:rPr>
        <w:rFonts w:ascii="Calibri" w:eastAsia="Arial" w:hAnsi="Calibri" w:cs="Calibri"/>
        <w:b/>
        <w:color w:val="0099FF"/>
        <w:sz w:val="18"/>
        <w:szCs w:val="16"/>
        <w:lang w:val="en-US"/>
      </w:rPr>
      <w:t xml:space="preserve">  </w:t>
    </w:r>
    <w:r w:rsidRPr="00C200EA">
      <w:rPr>
        <w:rFonts w:ascii="Calibri" w:hAnsi="Calibri" w:cs="Calibri"/>
        <w:b/>
        <w:color w:val="0099FF"/>
        <w:sz w:val="18"/>
        <w:szCs w:val="16"/>
        <w:lang w:val="en-US"/>
      </w:rPr>
      <w:t>www.isa.co</w:t>
    </w:r>
  </w:p>
  <w:p w14:paraId="2549E297" w14:textId="77777777" w:rsidR="00B45D65" w:rsidRDefault="00B45D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87E8" w14:textId="77777777" w:rsidR="00F7649C" w:rsidRDefault="00F7649C" w:rsidP="003E1A39">
      <w:pPr>
        <w:spacing w:after="0" w:line="240" w:lineRule="auto"/>
      </w:pPr>
      <w:r>
        <w:separator/>
      </w:r>
    </w:p>
  </w:footnote>
  <w:footnote w:type="continuationSeparator" w:id="0">
    <w:p w14:paraId="4B932FCB" w14:textId="77777777" w:rsidR="00F7649C" w:rsidRDefault="00F7649C" w:rsidP="003E1A39">
      <w:pPr>
        <w:spacing w:after="0" w:line="240" w:lineRule="auto"/>
      </w:pPr>
      <w:r>
        <w:continuationSeparator/>
      </w:r>
    </w:p>
  </w:footnote>
  <w:footnote w:type="continuationNotice" w:id="1">
    <w:p w14:paraId="77BB1FE5" w14:textId="77777777" w:rsidR="00F7649C" w:rsidRDefault="00F764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7768" w14:textId="77777777" w:rsidR="003E1A39" w:rsidRDefault="003E1A39">
    <w:pPr>
      <w:pStyle w:val="Encabezado"/>
    </w:pPr>
    <w:r>
      <w:rPr>
        <w:rFonts w:ascii="Calibri" w:hAnsi="Calibri" w:cs="Calibri"/>
        <w:b/>
        <w:noProof/>
        <w:sz w:val="16"/>
        <w:szCs w:val="16"/>
        <w:lang w:eastAsia="es-CO"/>
      </w:rPr>
      <w:drawing>
        <wp:inline distT="0" distB="0" distL="0" distR="0" wp14:anchorId="3087E421" wp14:editId="6847A392">
          <wp:extent cx="5612130" cy="769808"/>
          <wp:effectExtent l="0" t="0" r="7620" b="0"/>
          <wp:docPr id="2" name="Imagen 2" descr="Info relev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 relev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88" b="37579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6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AC3"/>
    <w:multiLevelType w:val="hybridMultilevel"/>
    <w:tmpl w:val="89B2FF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4748"/>
    <w:multiLevelType w:val="hybridMultilevel"/>
    <w:tmpl w:val="CEC046C2"/>
    <w:lvl w:ilvl="0" w:tplc="DD047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4BC0E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4B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3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A3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C0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EB1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7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1939"/>
    <w:multiLevelType w:val="hybridMultilevel"/>
    <w:tmpl w:val="9832234C"/>
    <w:lvl w:ilvl="0" w:tplc="7B6A0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8D410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E02CE0"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5EC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02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4A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E1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C7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45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0D5F"/>
    <w:multiLevelType w:val="hybridMultilevel"/>
    <w:tmpl w:val="4D1A3FFA"/>
    <w:lvl w:ilvl="0" w:tplc="E6DAC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44E8A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028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CD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C8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2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8F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2D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E9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31F"/>
    <w:multiLevelType w:val="hybridMultilevel"/>
    <w:tmpl w:val="F1222766"/>
    <w:lvl w:ilvl="0" w:tplc="BDD06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45D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82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49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22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0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69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01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84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16636"/>
    <w:multiLevelType w:val="hybridMultilevel"/>
    <w:tmpl w:val="01F2DBB8"/>
    <w:lvl w:ilvl="0" w:tplc="9EAE16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0DEA4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54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0D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81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6A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5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86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4B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E414E"/>
    <w:multiLevelType w:val="hybridMultilevel"/>
    <w:tmpl w:val="3DCE6D90"/>
    <w:lvl w:ilvl="0" w:tplc="D0CA7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E0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4A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454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A8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C5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64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C5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2C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2FF"/>
    <w:multiLevelType w:val="hybridMultilevel"/>
    <w:tmpl w:val="44FE3D30"/>
    <w:lvl w:ilvl="0" w:tplc="A57E73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2FC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4B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22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22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0B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0C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08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6B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26A3C"/>
    <w:multiLevelType w:val="hybridMultilevel"/>
    <w:tmpl w:val="7E48053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0839"/>
    <w:multiLevelType w:val="hybridMultilevel"/>
    <w:tmpl w:val="32541D18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497EDF"/>
    <w:multiLevelType w:val="hybridMultilevel"/>
    <w:tmpl w:val="E2EAEA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5E8F"/>
    <w:multiLevelType w:val="hybridMultilevel"/>
    <w:tmpl w:val="D5AE2D2A"/>
    <w:lvl w:ilvl="0" w:tplc="1BE481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C45FA"/>
    <w:multiLevelType w:val="hybridMultilevel"/>
    <w:tmpl w:val="7182E56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F29ED"/>
    <w:multiLevelType w:val="hybridMultilevel"/>
    <w:tmpl w:val="4C06DBF0"/>
    <w:lvl w:ilvl="0" w:tplc="28408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41BFE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922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2D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AF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E5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49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47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2B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77EE1"/>
    <w:multiLevelType w:val="hybridMultilevel"/>
    <w:tmpl w:val="AA448862"/>
    <w:lvl w:ilvl="0" w:tplc="B0762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4E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2F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64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27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60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C8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6C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6C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5C"/>
    <w:rsid w:val="00000A36"/>
    <w:rsid w:val="00000EC6"/>
    <w:rsid w:val="00002B02"/>
    <w:rsid w:val="00004366"/>
    <w:rsid w:val="000054C0"/>
    <w:rsid w:val="000148C7"/>
    <w:rsid w:val="00014F79"/>
    <w:rsid w:val="00016D90"/>
    <w:rsid w:val="00022193"/>
    <w:rsid w:val="00023109"/>
    <w:rsid w:val="000233D8"/>
    <w:rsid w:val="00036FAC"/>
    <w:rsid w:val="000378EF"/>
    <w:rsid w:val="00051256"/>
    <w:rsid w:val="000633AB"/>
    <w:rsid w:val="00065D8F"/>
    <w:rsid w:val="00070748"/>
    <w:rsid w:val="00073179"/>
    <w:rsid w:val="00077A70"/>
    <w:rsid w:val="00084C9A"/>
    <w:rsid w:val="00093477"/>
    <w:rsid w:val="00095270"/>
    <w:rsid w:val="000A024E"/>
    <w:rsid w:val="000B2B82"/>
    <w:rsid w:val="000B57E0"/>
    <w:rsid w:val="000C35E2"/>
    <w:rsid w:val="000C557F"/>
    <w:rsid w:val="000C5CC0"/>
    <w:rsid w:val="000C6D8D"/>
    <w:rsid w:val="000D3EFC"/>
    <w:rsid w:val="000D63CB"/>
    <w:rsid w:val="00104C60"/>
    <w:rsid w:val="00105DEE"/>
    <w:rsid w:val="001127F7"/>
    <w:rsid w:val="00120E39"/>
    <w:rsid w:val="001211C0"/>
    <w:rsid w:val="0012785E"/>
    <w:rsid w:val="0013118D"/>
    <w:rsid w:val="0013561A"/>
    <w:rsid w:val="00135A79"/>
    <w:rsid w:val="001427EC"/>
    <w:rsid w:val="001500C8"/>
    <w:rsid w:val="0015664F"/>
    <w:rsid w:val="00157812"/>
    <w:rsid w:val="00173008"/>
    <w:rsid w:val="001751BA"/>
    <w:rsid w:val="00176CDC"/>
    <w:rsid w:val="00196120"/>
    <w:rsid w:val="001A022F"/>
    <w:rsid w:val="001B47DE"/>
    <w:rsid w:val="001B742F"/>
    <w:rsid w:val="001B79FA"/>
    <w:rsid w:val="001C0CC3"/>
    <w:rsid w:val="001C21DE"/>
    <w:rsid w:val="001C2715"/>
    <w:rsid w:val="001C7D6E"/>
    <w:rsid w:val="001E6B8C"/>
    <w:rsid w:val="001F5FA6"/>
    <w:rsid w:val="002067C4"/>
    <w:rsid w:val="00207593"/>
    <w:rsid w:val="00210639"/>
    <w:rsid w:val="00220A41"/>
    <w:rsid w:val="00221312"/>
    <w:rsid w:val="0024081F"/>
    <w:rsid w:val="00250D81"/>
    <w:rsid w:val="002518A2"/>
    <w:rsid w:val="0025768A"/>
    <w:rsid w:val="0026073A"/>
    <w:rsid w:val="00274856"/>
    <w:rsid w:val="0027565E"/>
    <w:rsid w:val="00275F9D"/>
    <w:rsid w:val="0028441D"/>
    <w:rsid w:val="002873AC"/>
    <w:rsid w:val="00287E8E"/>
    <w:rsid w:val="00297989"/>
    <w:rsid w:val="002C1C08"/>
    <w:rsid w:val="002C3205"/>
    <w:rsid w:val="002C32F7"/>
    <w:rsid w:val="002C428D"/>
    <w:rsid w:val="002D0345"/>
    <w:rsid w:val="002F174F"/>
    <w:rsid w:val="00300540"/>
    <w:rsid w:val="00310B6F"/>
    <w:rsid w:val="00313E07"/>
    <w:rsid w:val="0032262D"/>
    <w:rsid w:val="00326836"/>
    <w:rsid w:val="00326EA8"/>
    <w:rsid w:val="0034175F"/>
    <w:rsid w:val="0034445A"/>
    <w:rsid w:val="003449D1"/>
    <w:rsid w:val="003538C5"/>
    <w:rsid w:val="00354D2D"/>
    <w:rsid w:val="0036408C"/>
    <w:rsid w:val="003668D0"/>
    <w:rsid w:val="00380B4C"/>
    <w:rsid w:val="00387BBA"/>
    <w:rsid w:val="003929AF"/>
    <w:rsid w:val="003A40FC"/>
    <w:rsid w:val="003C2CF8"/>
    <w:rsid w:val="003D5BE0"/>
    <w:rsid w:val="003D77BC"/>
    <w:rsid w:val="003E1A39"/>
    <w:rsid w:val="003F1237"/>
    <w:rsid w:val="003F3345"/>
    <w:rsid w:val="003F766F"/>
    <w:rsid w:val="00400024"/>
    <w:rsid w:val="00403574"/>
    <w:rsid w:val="00404D9F"/>
    <w:rsid w:val="00420126"/>
    <w:rsid w:val="00425B12"/>
    <w:rsid w:val="00426A2D"/>
    <w:rsid w:val="00436F68"/>
    <w:rsid w:val="0044770B"/>
    <w:rsid w:val="004503E2"/>
    <w:rsid w:val="00453EA9"/>
    <w:rsid w:val="00454445"/>
    <w:rsid w:val="0045493E"/>
    <w:rsid w:val="00460EE1"/>
    <w:rsid w:val="00466E27"/>
    <w:rsid w:val="00477C51"/>
    <w:rsid w:val="00490D9D"/>
    <w:rsid w:val="00491A19"/>
    <w:rsid w:val="00491CB6"/>
    <w:rsid w:val="004950A0"/>
    <w:rsid w:val="004B7260"/>
    <w:rsid w:val="004B787E"/>
    <w:rsid w:val="004C09FA"/>
    <w:rsid w:val="004C72FC"/>
    <w:rsid w:val="004D28FA"/>
    <w:rsid w:val="004D2945"/>
    <w:rsid w:val="004D579D"/>
    <w:rsid w:val="004D7851"/>
    <w:rsid w:val="004E1696"/>
    <w:rsid w:val="004E2EE6"/>
    <w:rsid w:val="004E7465"/>
    <w:rsid w:val="004E7F81"/>
    <w:rsid w:val="004F2376"/>
    <w:rsid w:val="00500446"/>
    <w:rsid w:val="00503FCA"/>
    <w:rsid w:val="00506780"/>
    <w:rsid w:val="00510134"/>
    <w:rsid w:val="00524037"/>
    <w:rsid w:val="0054037E"/>
    <w:rsid w:val="00541BEA"/>
    <w:rsid w:val="0054390D"/>
    <w:rsid w:val="00547BFC"/>
    <w:rsid w:val="005603EE"/>
    <w:rsid w:val="00564F6A"/>
    <w:rsid w:val="00567C43"/>
    <w:rsid w:val="00580FDB"/>
    <w:rsid w:val="0058259B"/>
    <w:rsid w:val="00586482"/>
    <w:rsid w:val="00591731"/>
    <w:rsid w:val="005A36D0"/>
    <w:rsid w:val="005A755D"/>
    <w:rsid w:val="005B7366"/>
    <w:rsid w:val="005D1E36"/>
    <w:rsid w:val="005D7A9F"/>
    <w:rsid w:val="005F054D"/>
    <w:rsid w:val="005F1852"/>
    <w:rsid w:val="005F1C00"/>
    <w:rsid w:val="005F66B0"/>
    <w:rsid w:val="006036DE"/>
    <w:rsid w:val="006166C7"/>
    <w:rsid w:val="006233BB"/>
    <w:rsid w:val="006353B7"/>
    <w:rsid w:val="006377BD"/>
    <w:rsid w:val="0064115A"/>
    <w:rsid w:val="0064460D"/>
    <w:rsid w:val="00655121"/>
    <w:rsid w:val="006642DC"/>
    <w:rsid w:val="00667831"/>
    <w:rsid w:val="00670C28"/>
    <w:rsid w:val="00682844"/>
    <w:rsid w:val="006A0288"/>
    <w:rsid w:val="006A35BB"/>
    <w:rsid w:val="006A4DC7"/>
    <w:rsid w:val="006A556E"/>
    <w:rsid w:val="006D6D9A"/>
    <w:rsid w:val="006D6F39"/>
    <w:rsid w:val="006E4B88"/>
    <w:rsid w:val="006E69F1"/>
    <w:rsid w:val="006F457D"/>
    <w:rsid w:val="007064E1"/>
    <w:rsid w:val="00712D82"/>
    <w:rsid w:val="00713EFB"/>
    <w:rsid w:val="007149F6"/>
    <w:rsid w:val="00720EA4"/>
    <w:rsid w:val="00723A9C"/>
    <w:rsid w:val="00726F91"/>
    <w:rsid w:val="00733D8A"/>
    <w:rsid w:val="0073723D"/>
    <w:rsid w:val="00740FD2"/>
    <w:rsid w:val="00743CA7"/>
    <w:rsid w:val="007513EC"/>
    <w:rsid w:val="00751BCD"/>
    <w:rsid w:val="00753833"/>
    <w:rsid w:val="0075403E"/>
    <w:rsid w:val="00756F63"/>
    <w:rsid w:val="0077099E"/>
    <w:rsid w:val="00774B17"/>
    <w:rsid w:val="00777BE8"/>
    <w:rsid w:val="00785C8C"/>
    <w:rsid w:val="00796645"/>
    <w:rsid w:val="007A168D"/>
    <w:rsid w:val="007C2208"/>
    <w:rsid w:val="007C340B"/>
    <w:rsid w:val="007C497F"/>
    <w:rsid w:val="007D118D"/>
    <w:rsid w:val="007E2804"/>
    <w:rsid w:val="007E7790"/>
    <w:rsid w:val="007F0621"/>
    <w:rsid w:val="007F1350"/>
    <w:rsid w:val="007F28F0"/>
    <w:rsid w:val="007F495D"/>
    <w:rsid w:val="007F4C24"/>
    <w:rsid w:val="007F6E0B"/>
    <w:rsid w:val="00801713"/>
    <w:rsid w:val="00806A0F"/>
    <w:rsid w:val="00812095"/>
    <w:rsid w:val="008163AD"/>
    <w:rsid w:val="0082197C"/>
    <w:rsid w:val="00826083"/>
    <w:rsid w:val="0083603C"/>
    <w:rsid w:val="00836425"/>
    <w:rsid w:val="00841412"/>
    <w:rsid w:val="008420AC"/>
    <w:rsid w:val="00852F08"/>
    <w:rsid w:val="00864742"/>
    <w:rsid w:val="008762DD"/>
    <w:rsid w:val="00877BB8"/>
    <w:rsid w:val="00886340"/>
    <w:rsid w:val="00886414"/>
    <w:rsid w:val="008872B2"/>
    <w:rsid w:val="008A651E"/>
    <w:rsid w:val="008B0392"/>
    <w:rsid w:val="008B6F69"/>
    <w:rsid w:val="008C7F73"/>
    <w:rsid w:val="008D3990"/>
    <w:rsid w:val="008D5727"/>
    <w:rsid w:val="008E0F17"/>
    <w:rsid w:val="008E1747"/>
    <w:rsid w:val="009011FF"/>
    <w:rsid w:val="00912625"/>
    <w:rsid w:val="00912F7A"/>
    <w:rsid w:val="009340E4"/>
    <w:rsid w:val="009408CD"/>
    <w:rsid w:val="00940D80"/>
    <w:rsid w:val="00944A61"/>
    <w:rsid w:val="00945D47"/>
    <w:rsid w:val="00946846"/>
    <w:rsid w:val="00953C5A"/>
    <w:rsid w:val="009575C2"/>
    <w:rsid w:val="0096003F"/>
    <w:rsid w:val="00963F2B"/>
    <w:rsid w:val="0096436C"/>
    <w:rsid w:val="00965375"/>
    <w:rsid w:val="0099743F"/>
    <w:rsid w:val="009A609D"/>
    <w:rsid w:val="009B3AC1"/>
    <w:rsid w:val="009C6897"/>
    <w:rsid w:val="009D066F"/>
    <w:rsid w:val="009D539D"/>
    <w:rsid w:val="009E079B"/>
    <w:rsid w:val="009E1944"/>
    <w:rsid w:val="009F531D"/>
    <w:rsid w:val="009F7658"/>
    <w:rsid w:val="00A065E5"/>
    <w:rsid w:val="00A06FBD"/>
    <w:rsid w:val="00A07D96"/>
    <w:rsid w:val="00A121D4"/>
    <w:rsid w:val="00A12444"/>
    <w:rsid w:val="00A15659"/>
    <w:rsid w:val="00A163E6"/>
    <w:rsid w:val="00A2125D"/>
    <w:rsid w:val="00A22348"/>
    <w:rsid w:val="00A24385"/>
    <w:rsid w:val="00A24A09"/>
    <w:rsid w:val="00A271A6"/>
    <w:rsid w:val="00A27E32"/>
    <w:rsid w:val="00A55325"/>
    <w:rsid w:val="00A7182B"/>
    <w:rsid w:val="00A73C33"/>
    <w:rsid w:val="00A83F66"/>
    <w:rsid w:val="00AA4B68"/>
    <w:rsid w:val="00AA6182"/>
    <w:rsid w:val="00AB0149"/>
    <w:rsid w:val="00AB0C4D"/>
    <w:rsid w:val="00AB64DC"/>
    <w:rsid w:val="00AC3AE7"/>
    <w:rsid w:val="00AD3DEE"/>
    <w:rsid w:val="00AD64A5"/>
    <w:rsid w:val="00AF3484"/>
    <w:rsid w:val="00AF55FF"/>
    <w:rsid w:val="00AF77E3"/>
    <w:rsid w:val="00B031F0"/>
    <w:rsid w:val="00B1258C"/>
    <w:rsid w:val="00B150A0"/>
    <w:rsid w:val="00B25DFF"/>
    <w:rsid w:val="00B45D65"/>
    <w:rsid w:val="00B54A81"/>
    <w:rsid w:val="00B64C75"/>
    <w:rsid w:val="00B66A2C"/>
    <w:rsid w:val="00B71F77"/>
    <w:rsid w:val="00B72D87"/>
    <w:rsid w:val="00B766C7"/>
    <w:rsid w:val="00B903A6"/>
    <w:rsid w:val="00B90465"/>
    <w:rsid w:val="00B90E3D"/>
    <w:rsid w:val="00B94EA4"/>
    <w:rsid w:val="00BA016C"/>
    <w:rsid w:val="00BA3396"/>
    <w:rsid w:val="00BB3F84"/>
    <w:rsid w:val="00BB589B"/>
    <w:rsid w:val="00BB5EEA"/>
    <w:rsid w:val="00BC00F8"/>
    <w:rsid w:val="00BC2DF9"/>
    <w:rsid w:val="00BC4099"/>
    <w:rsid w:val="00BC52D4"/>
    <w:rsid w:val="00BC5F0F"/>
    <w:rsid w:val="00BD3036"/>
    <w:rsid w:val="00BE30B6"/>
    <w:rsid w:val="00BE774A"/>
    <w:rsid w:val="00BF1F84"/>
    <w:rsid w:val="00BF2974"/>
    <w:rsid w:val="00C01580"/>
    <w:rsid w:val="00C2058E"/>
    <w:rsid w:val="00C2470A"/>
    <w:rsid w:val="00C263A7"/>
    <w:rsid w:val="00C30285"/>
    <w:rsid w:val="00C353AE"/>
    <w:rsid w:val="00C3746B"/>
    <w:rsid w:val="00C377F4"/>
    <w:rsid w:val="00C46482"/>
    <w:rsid w:val="00C47C6B"/>
    <w:rsid w:val="00C56561"/>
    <w:rsid w:val="00C632D7"/>
    <w:rsid w:val="00C6527E"/>
    <w:rsid w:val="00C83E21"/>
    <w:rsid w:val="00C878F3"/>
    <w:rsid w:val="00C9124C"/>
    <w:rsid w:val="00C92E68"/>
    <w:rsid w:val="00CA4415"/>
    <w:rsid w:val="00CB4AB5"/>
    <w:rsid w:val="00CB677C"/>
    <w:rsid w:val="00CC1E8D"/>
    <w:rsid w:val="00CC563A"/>
    <w:rsid w:val="00CC72F1"/>
    <w:rsid w:val="00CD013B"/>
    <w:rsid w:val="00CD1C6E"/>
    <w:rsid w:val="00D04BB5"/>
    <w:rsid w:val="00D27612"/>
    <w:rsid w:val="00D364AA"/>
    <w:rsid w:val="00D37A74"/>
    <w:rsid w:val="00D41E12"/>
    <w:rsid w:val="00D46A6C"/>
    <w:rsid w:val="00D504BA"/>
    <w:rsid w:val="00D75280"/>
    <w:rsid w:val="00D76C8F"/>
    <w:rsid w:val="00D80290"/>
    <w:rsid w:val="00D84F8B"/>
    <w:rsid w:val="00D86EAC"/>
    <w:rsid w:val="00D904A7"/>
    <w:rsid w:val="00D95D5C"/>
    <w:rsid w:val="00DB02AA"/>
    <w:rsid w:val="00DB3BCE"/>
    <w:rsid w:val="00DE50DA"/>
    <w:rsid w:val="00DF6CC5"/>
    <w:rsid w:val="00E03A2A"/>
    <w:rsid w:val="00E12BD9"/>
    <w:rsid w:val="00E20A7D"/>
    <w:rsid w:val="00E21FCF"/>
    <w:rsid w:val="00E30688"/>
    <w:rsid w:val="00E32A62"/>
    <w:rsid w:val="00E34EE6"/>
    <w:rsid w:val="00E64D88"/>
    <w:rsid w:val="00E71FD4"/>
    <w:rsid w:val="00E76D9F"/>
    <w:rsid w:val="00E9056F"/>
    <w:rsid w:val="00E90F8D"/>
    <w:rsid w:val="00E96380"/>
    <w:rsid w:val="00E972AA"/>
    <w:rsid w:val="00EA1973"/>
    <w:rsid w:val="00EA3551"/>
    <w:rsid w:val="00EA44FC"/>
    <w:rsid w:val="00EB0442"/>
    <w:rsid w:val="00EB468B"/>
    <w:rsid w:val="00EB62E7"/>
    <w:rsid w:val="00EC2C1A"/>
    <w:rsid w:val="00ED76E7"/>
    <w:rsid w:val="00EE50D9"/>
    <w:rsid w:val="00EE5E07"/>
    <w:rsid w:val="00EF4B2A"/>
    <w:rsid w:val="00EF5A56"/>
    <w:rsid w:val="00F05544"/>
    <w:rsid w:val="00F10E93"/>
    <w:rsid w:val="00F1513A"/>
    <w:rsid w:val="00F2121E"/>
    <w:rsid w:val="00F242C7"/>
    <w:rsid w:val="00F251CE"/>
    <w:rsid w:val="00F3661A"/>
    <w:rsid w:val="00F40FE6"/>
    <w:rsid w:val="00F43E16"/>
    <w:rsid w:val="00F44D65"/>
    <w:rsid w:val="00F54FFF"/>
    <w:rsid w:val="00F55BED"/>
    <w:rsid w:val="00F65387"/>
    <w:rsid w:val="00F664D0"/>
    <w:rsid w:val="00F728B5"/>
    <w:rsid w:val="00F731D1"/>
    <w:rsid w:val="00F7649C"/>
    <w:rsid w:val="00F772E1"/>
    <w:rsid w:val="00FA49F6"/>
    <w:rsid w:val="00FA74C3"/>
    <w:rsid w:val="00FB3FD6"/>
    <w:rsid w:val="00FB708D"/>
    <w:rsid w:val="00FC1A47"/>
    <w:rsid w:val="00FC6945"/>
    <w:rsid w:val="00FD5398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AD98"/>
  <w15:chartTrackingRefBased/>
  <w15:docId w15:val="{8B0F8FB6-4DDD-4BAE-B419-B71A5E99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44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qFormat/>
    <w:rsid w:val="00D04BB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44A6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E1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A39"/>
  </w:style>
  <w:style w:type="paragraph" w:styleId="Piedepgina">
    <w:name w:val="footer"/>
    <w:basedOn w:val="Normal"/>
    <w:link w:val="PiedepginaCar"/>
    <w:uiPriority w:val="99"/>
    <w:unhideWhenUsed/>
    <w:rsid w:val="003E1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A39"/>
  </w:style>
  <w:style w:type="paragraph" w:customStyle="1" w:styleId="Default">
    <w:name w:val="Default"/>
    <w:rsid w:val="00104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093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3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347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47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8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85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7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6480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227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916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029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524">
          <w:marLeft w:val="20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925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148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903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349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323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08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68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027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944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349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883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10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582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884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6178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009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735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278">
          <w:marLeft w:val="63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588">
          <w:marLeft w:val="63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068">
          <w:marLeft w:val="63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415">
          <w:marLeft w:val="63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307">
          <w:marLeft w:val="63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671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813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976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926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195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119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93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108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521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8922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ARANGO VILLEGAS</dc:creator>
  <cp:keywords/>
  <dc:description/>
  <cp:lastModifiedBy>LINA MARÍA DUQUE CALLE</cp:lastModifiedBy>
  <cp:revision>2</cp:revision>
  <dcterms:created xsi:type="dcterms:W3CDTF">2020-12-02T21:10:00Z</dcterms:created>
  <dcterms:modified xsi:type="dcterms:W3CDTF">2020-12-02T21:10:00Z</dcterms:modified>
</cp:coreProperties>
</file>