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692F" w14:textId="3D26AB6B" w:rsidR="006277BF" w:rsidRDefault="000B2D5D" w:rsidP="000B2D5D">
      <w:pPr>
        <w:spacing w:after="63" w:line="259" w:lineRule="auto"/>
        <w:ind w:left="-90" w:right="-858" w:firstLine="0"/>
      </w:pPr>
      <w:r>
        <w:rPr>
          <w:noProof/>
        </w:rPr>
        <mc:AlternateContent>
          <mc:Choice Requires="wps">
            <w:drawing>
              <wp:anchor distT="0" distB="0" distL="114300" distR="114300" simplePos="0" relativeHeight="251659264" behindDoc="0" locked="0" layoutInCell="1" allowOverlap="1" wp14:anchorId="28681B24" wp14:editId="3A61A768">
                <wp:simplePos x="0" y="0"/>
                <wp:positionH relativeFrom="margin">
                  <wp:align>right</wp:align>
                </wp:positionH>
                <wp:positionV relativeFrom="paragraph">
                  <wp:posOffset>165735</wp:posOffset>
                </wp:positionV>
                <wp:extent cx="3032760" cy="522605"/>
                <wp:effectExtent l="0" t="0" r="0" b="0"/>
                <wp:wrapNone/>
                <wp:docPr id="13" name="Rectangle 13"/>
                <wp:cNvGraphicFramePr/>
                <a:graphic xmlns:a="http://schemas.openxmlformats.org/drawingml/2006/main">
                  <a:graphicData uri="http://schemas.microsoft.com/office/word/2010/wordprocessingShape">
                    <wps:wsp>
                      <wps:cNvSpPr/>
                      <wps:spPr>
                        <a:xfrm>
                          <a:off x="0" y="0"/>
                          <a:ext cx="3032760" cy="522605"/>
                        </a:xfrm>
                        <a:prstGeom prst="rect">
                          <a:avLst/>
                        </a:prstGeom>
                        <a:ln>
                          <a:noFill/>
                        </a:ln>
                      </wps:spPr>
                      <wps:txbx>
                        <w:txbxContent>
                          <w:p w14:paraId="03772FE1" w14:textId="77777777" w:rsidR="00437ABA" w:rsidRDefault="00437ABA" w:rsidP="000B2D5D">
                            <w:pPr>
                              <w:spacing w:after="160" w:line="259" w:lineRule="auto"/>
                              <w:ind w:left="0" w:firstLine="0"/>
                            </w:pPr>
                            <w:r>
                              <w:rPr>
                                <w:rFonts w:ascii="Verdana" w:hAnsi="Verdana"/>
                                <w:b/>
                                <w:sz w:val="32"/>
                              </w:rPr>
                              <w:t>COMUNICADO DE PRENSA</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681B24" id="Rectangle 13" o:spid="_x0000_s1026" style="position:absolute;left:0;text-align:left;margin-left:187.6pt;margin-top:13.05pt;width:238.8pt;height:4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" filled="f" stroked="f">
                <v:textbox inset="0,0,0,0">
                  <w:txbxContent>
                    <w:p w14:paraId="03772FE1" w14:textId="77777777" w:rsidR="00437ABA" w:rsidRDefault="00437ABA" w:rsidP="000B2D5D">
                      <w:pPr>
                        <w:spacing w:after="160" w:line="259" w:lineRule="auto"/>
                        <w:ind w:left="0" w:firstLine="0"/>
                      </w:pPr>
                      <w:r>
                        <w:rPr>
                          <w:rFonts w:ascii="Verdana" w:hAnsi="Verdana"/>
                          <w:b/>
                          <w:sz w:val="32"/>
                        </w:rPr>
                        <w:t>COMUNICADO DE PRENSA</w:t>
                      </w:r>
                    </w:p>
                  </w:txbxContent>
                </v:textbox>
                <w10:wrap anchorx="margin"/>
              </v:rect>
            </w:pict>
          </mc:Fallback>
        </mc:AlternateContent>
      </w:r>
      <w:r>
        <w:rPr>
          <w:noProof/>
        </w:rPr>
        <w:drawing>
          <wp:inline distT="0" distB="0" distL="0" distR="0" wp14:anchorId="3A8506BD" wp14:editId="065E8911">
            <wp:extent cx="289560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601980"/>
                    </a:xfrm>
                    <a:prstGeom prst="rect">
                      <a:avLst/>
                    </a:prstGeom>
                    <a:noFill/>
                    <a:ln>
                      <a:noFill/>
                    </a:ln>
                  </pic:spPr>
                </pic:pic>
              </a:graphicData>
            </a:graphic>
          </wp:inline>
        </w:drawing>
      </w:r>
    </w:p>
    <w:p w14:paraId="45261A53" w14:textId="16457F4D" w:rsidR="006277BF" w:rsidRPr="000B2D5D" w:rsidRDefault="000B2D5D">
      <w:pPr>
        <w:spacing w:after="336" w:line="259" w:lineRule="auto"/>
        <w:ind w:left="1" w:firstLine="0"/>
        <w:rPr>
          <w:color w:val="auto"/>
        </w:rPr>
      </w:pPr>
      <w:r w:rsidRPr="000B2D5D">
        <w:rPr>
          <w:noProof/>
          <w:color w:val="auto"/>
        </w:rPr>
        <mc:AlternateContent>
          <mc:Choice Requires="wps">
            <w:drawing>
              <wp:anchor distT="0" distB="0" distL="114300" distR="114300" simplePos="0" relativeHeight="251660288" behindDoc="0" locked="0" layoutInCell="1" allowOverlap="1" wp14:anchorId="03316B9E" wp14:editId="086223DE">
                <wp:simplePos x="0" y="0"/>
                <wp:positionH relativeFrom="column">
                  <wp:posOffset>8255</wp:posOffset>
                </wp:positionH>
                <wp:positionV relativeFrom="paragraph">
                  <wp:posOffset>53340</wp:posOffset>
                </wp:positionV>
                <wp:extent cx="6286500" cy="533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28650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DF44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5pt,4.2pt" to="495.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" strokecolor="#4472c4 [3204]" strokeweight=".5pt">
                <v:stroke joinstyle="miter"/>
              </v:line>
            </w:pict>
          </mc:Fallback>
        </mc:AlternateContent>
      </w:r>
      <w:r w:rsidR="001D6300" w:rsidRPr="000B2D5D">
        <w:rPr>
          <w:color w:val="auto"/>
        </w:rPr>
        <w:t xml:space="preserve"> </w:t>
      </w:r>
    </w:p>
    <w:p w14:paraId="61CCAB81" w14:textId="524B049A" w:rsidR="006277BF" w:rsidRPr="0094724B" w:rsidRDefault="004F71CB" w:rsidP="0094724B">
      <w:pPr>
        <w:spacing w:after="240" w:line="239" w:lineRule="auto"/>
        <w:ind w:left="0" w:firstLine="0"/>
        <w:jc w:val="center"/>
        <w:rPr>
          <w:b/>
          <w:sz w:val="28"/>
        </w:rPr>
      </w:pPr>
      <w:r>
        <w:rPr>
          <w:b/>
          <w:sz w:val="28"/>
        </w:rPr>
        <w:t xml:space="preserve">Crecimiento mundial: Repunte modesto del 2,5 % en 2020 </w:t>
      </w:r>
      <w:r w:rsidR="00C04ADD">
        <w:rPr>
          <w:b/>
          <w:sz w:val="28"/>
        </w:rPr>
        <w:br/>
      </w:r>
      <w:r>
        <w:rPr>
          <w:b/>
          <w:sz w:val="28"/>
        </w:rPr>
        <w:t>con aumento de la deuda y menor incremento de la productividad</w:t>
      </w:r>
    </w:p>
    <w:p w14:paraId="03DC6D67" w14:textId="22FC6DC6" w:rsidR="006277BF" w:rsidRDefault="00A35E54">
      <w:pPr>
        <w:spacing w:after="264" w:line="259" w:lineRule="auto"/>
        <w:ind w:left="30" w:firstLine="0"/>
        <w:jc w:val="center"/>
      </w:pPr>
      <w:r>
        <w:rPr>
          <w:i/>
          <w:sz w:val="24"/>
        </w:rPr>
        <w:t xml:space="preserve">El crecimiento de las economías emergentes y en desarrollo repuntará hasta ubicarse </w:t>
      </w:r>
      <w:r w:rsidR="00C04ADD">
        <w:rPr>
          <w:i/>
          <w:sz w:val="24"/>
        </w:rPr>
        <w:br/>
      </w:r>
      <w:r>
        <w:rPr>
          <w:i/>
          <w:sz w:val="24"/>
        </w:rPr>
        <w:t>en un 4,1 % en 2020, pero este reb</w:t>
      </w:r>
      <w:bookmarkStart w:id="0" w:name="_GoBack"/>
      <w:bookmarkEnd w:id="0"/>
      <w:r>
        <w:rPr>
          <w:i/>
          <w:sz w:val="24"/>
        </w:rPr>
        <w:t>ote no será generalizado</w:t>
      </w:r>
    </w:p>
    <w:p w14:paraId="3A5DAD5C" w14:textId="6D16EC15" w:rsidR="0018352C" w:rsidRDefault="4FE64658" w:rsidP="003A5E9C">
      <w:pPr>
        <w:ind w:left="-5" w:right="11"/>
      </w:pPr>
      <w:r>
        <w:rPr>
          <w:b/>
          <w:bCs/>
        </w:rPr>
        <w:t xml:space="preserve">Ciudad de Washington, 8 de enero de 2020. </w:t>
      </w:r>
      <w:r>
        <w:t xml:space="preserve">En 2020 el crecimiento de la economía mundial se acercará, según las previsiones, al 2,5 % a medida que las inversiones y el comercio se recuperen gradualmente de la significativa debilidad que mostraron en año pasado. Sin embargo, aún persisten riesgos de que la situación empeore, afirma el Banco Mundial en la edición de enero de 2020 de </w:t>
      </w:r>
      <w:r>
        <w:rPr>
          <w:i/>
          <w:iCs/>
        </w:rPr>
        <w:t>Perspectivas económicas mundiales</w:t>
      </w:r>
      <w:r>
        <w:t>.</w:t>
      </w:r>
      <w:r w:rsidR="008B43DB">
        <w:t xml:space="preserve"> </w:t>
      </w:r>
    </w:p>
    <w:p w14:paraId="36D06AF4" w14:textId="626AAD17" w:rsidR="00CB7B53" w:rsidRDefault="003C7DFA" w:rsidP="00CB7B53">
      <w:pPr>
        <w:ind w:left="-14" w:right="11" w:firstLine="0"/>
        <w:rPr>
          <w:bCs/>
        </w:rPr>
      </w:pPr>
      <w:r>
        <w:rPr>
          <w:color w:val="auto"/>
        </w:rPr>
        <w:t>Asimismo, se prevé que el crecimiento de las economías avanzadas en su conjunto decaiga al 1,4 % en 2020, en parte debido a que persiste la debilidad en las manufacturas.</w:t>
      </w:r>
      <w:r w:rsidR="008B43DB">
        <w:rPr>
          <w:color w:val="auto"/>
        </w:rPr>
        <w:t xml:space="preserve"> </w:t>
      </w:r>
      <w:r>
        <w:t xml:space="preserve">En los mercados emergentes y las economías en desarrollo, por otro lado, se espera que </w:t>
      </w:r>
      <w:r w:rsidR="00437ABA">
        <w:t>este</w:t>
      </w:r>
      <w:r>
        <w:t xml:space="preserve"> año el crecimiento se acelere hasta ubicarse en un 4,1 %. </w:t>
      </w:r>
      <w:bookmarkStart w:id="1" w:name="OLE_LINK1"/>
      <w:bookmarkStart w:id="2" w:name="OLE_LINK2"/>
      <w:r>
        <w:t xml:space="preserve">Este repunte no </w:t>
      </w:r>
      <w:r w:rsidR="00857C14">
        <w:t>es</w:t>
      </w:r>
      <w:r>
        <w:t xml:space="preserve"> generalizado</w:t>
      </w:r>
      <w:r w:rsidR="00A2546C">
        <w:t>,</w:t>
      </w:r>
      <w:r>
        <w:t xml:space="preserve"> y </w:t>
      </w:r>
      <w:r w:rsidR="00A2546C">
        <w:t xml:space="preserve">para establecer esta proyección se da por supuesto que mejorará </w:t>
      </w:r>
      <w:r>
        <w:t>el desempeño de un pequeño grupo de economías grandes, algunas de las cuales están saliendo de un período de debilidad considerable.</w:t>
      </w:r>
      <w:r w:rsidR="008B43DB">
        <w:t xml:space="preserve"> </w:t>
      </w:r>
      <w:bookmarkEnd w:id="1"/>
      <w:bookmarkEnd w:id="2"/>
      <w:r>
        <w:t>Se prevé que cerca de la tercera parte de los mercados emergentes y las economías en desarrollo se desacelerarán este año como consecuencia de que el volumen de las exportaciones y las inversiones</w:t>
      </w:r>
      <w:r w:rsidR="008B43DB">
        <w:t xml:space="preserve"> </w:t>
      </w:r>
      <w:r>
        <w:t>será menor al esperado.</w:t>
      </w:r>
      <w:r w:rsidR="008B43DB">
        <w:t xml:space="preserve"> </w:t>
      </w:r>
    </w:p>
    <w:p w14:paraId="7999D49A" w14:textId="6862EEA0" w:rsidR="00A2546C" w:rsidRPr="002537B5" w:rsidRDefault="00A2546C" w:rsidP="002E1554">
      <w:pPr>
        <w:ind w:left="-5" w:right="11"/>
      </w:pPr>
      <w:r>
        <w:t>“En vista de que el crecimiento de las economías emergentes y en desarrollo probablemente se mante</w:t>
      </w:r>
      <w:r w:rsidR="00237CD9">
        <w:t xml:space="preserve">ndrá </w:t>
      </w:r>
      <w:r>
        <w:t xml:space="preserve">bajo, los responsables de formular políticas deberían aprovechar la </w:t>
      </w:r>
      <w:r w:rsidRPr="002537B5">
        <w:t>oportunidad para encarar reformas estructurales que impulsen un crecimiento de base amplia,</w:t>
      </w:r>
      <w:r w:rsidR="002537B5">
        <w:t xml:space="preserve"> </w:t>
      </w:r>
      <w:r w:rsidRPr="002537B5">
        <w:t>factor esencial para reducir la pobreza”, afirmó la</w:t>
      </w:r>
      <w:r w:rsidRPr="002537B5">
        <w:rPr>
          <w:b/>
          <w:bCs/>
        </w:rPr>
        <w:t xml:space="preserve"> vicepresidenta de Crecimiento Equitativo, Finanzas e Instituciones del Grupo Banco Mundial, Ceyla </w:t>
      </w:r>
      <w:r w:rsidRPr="002537B5">
        <w:rPr>
          <w:b/>
          <w:bCs/>
          <w:color w:val="auto"/>
        </w:rPr>
        <w:t>Pazarbasioglu</w:t>
      </w:r>
      <w:r w:rsidRPr="002537B5">
        <w:rPr>
          <w:bCs/>
          <w:color w:val="auto"/>
        </w:rPr>
        <w:t xml:space="preserve">. “Las medidas dirigidas a mejorar el clima para los negocios, el Estado de derecho, la gestión de la deuda y la productividad pueden contribuir a lograr un crecimiento sostenido”. </w:t>
      </w:r>
    </w:p>
    <w:p w14:paraId="4EB707BC" w14:textId="6C9CC663" w:rsidR="002E1554" w:rsidRPr="002E1554" w:rsidRDefault="002E1554" w:rsidP="002E1554">
      <w:pPr>
        <w:ind w:left="-5" w:right="11"/>
        <w:rPr>
          <w:color w:val="auto"/>
          <w:szCs w:val="20"/>
        </w:rPr>
      </w:pPr>
      <w:r>
        <w:t xml:space="preserve">Descargue el </w:t>
      </w:r>
      <w:hyperlink r:id="rId12" w:history="1">
        <w:r>
          <w:rPr>
            <w:rStyle w:val="Hyperlink"/>
          </w:rPr>
          <w:t>informe sobre las perspectivas económicas mundiales de enero de 2020</w:t>
        </w:r>
      </w:hyperlink>
      <w:r>
        <w:t xml:space="preserve"> (i).</w:t>
      </w:r>
      <w:r>
        <w:rPr>
          <w:color w:val="auto"/>
          <w:szCs w:val="20"/>
        </w:rPr>
        <w:t xml:space="preserve"> </w:t>
      </w:r>
    </w:p>
    <w:p w14:paraId="5EB0A238" w14:textId="07B071D9" w:rsidR="00CB7B53" w:rsidRPr="003C7DFA" w:rsidRDefault="00CB7B53" w:rsidP="00CB7B53">
      <w:pPr>
        <w:ind w:left="-14" w:right="11" w:firstLine="0"/>
        <w:rPr>
          <w:color w:val="auto"/>
        </w:rPr>
      </w:pPr>
      <w:r>
        <w:rPr>
          <w:color w:val="auto"/>
        </w:rPr>
        <w:t>Según las proyecciones, el crecimiento de Estados Unidos se desacelerará a un 1,</w:t>
      </w:r>
      <w:r w:rsidR="00A2546C">
        <w:rPr>
          <w:color w:val="auto"/>
        </w:rPr>
        <w:t>8</w:t>
      </w:r>
      <w:r>
        <w:rPr>
          <w:color w:val="auto"/>
        </w:rPr>
        <w:t> % este año, como reflejo del impacto negativo de los incrementos en las tarifas fijados anteriormente y del aumento de la incertidumbre. En la zona del euro, las previsiones sobre crecimiento se han modificado a la baja y se han establecido en un 1 % para 2020 en un contexto de actividad industrial débil.</w:t>
      </w:r>
    </w:p>
    <w:p w14:paraId="394C1FE7" w14:textId="64F0FEF0" w:rsidR="008500F0" w:rsidRDefault="00DC5056" w:rsidP="009E2000">
      <w:pPr>
        <w:ind w:left="-5" w:right="11"/>
      </w:pPr>
      <w:r>
        <w:rPr>
          <w:color w:val="auto"/>
          <w:szCs w:val="20"/>
        </w:rPr>
        <w:t>Por otro lado,</w:t>
      </w:r>
      <w:r w:rsidR="008B43DB">
        <w:rPr>
          <w:color w:val="auto"/>
          <w:szCs w:val="20"/>
        </w:rPr>
        <w:t xml:space="preserve"> </w:t>
      </w:r>
      <w:r>
        <w:rPr>
          <w:color w:val="auto"/>
          <w:szCs w:val="20"/>
        </w:rPr>
        <w:t xml:space="preserve">predominan los riesgos de que las perspectivas mundiales empeoren, y la concreción de dichos riesgos podría desacelerar el crecimiento de manera considerable. Entre estos riesgos se incluyen una nueva escalada de las tensiones en las relaciones comerciales y la incertidumbre respecto de las políticas en esta área, y las conmociones financieras en los mercados emergentes y las economías en desarrollo. </w:t>
      </w:r>
      <w:r>
        <w:t xml:space="preserve">Aun si estos mercados y economías se recuperan tal como está previsto, el crecimiento </w:t>
      </w:r>
      <w:r w:rsidRPr="0072792B">
        <w:rPr>
          <w:iCs/>
        </w:rPr>
        <w:t>per cápita</w:t>
      </w:r>
      <w:r>
        <w:rPr>
          <w:i/>
          <w:iCs/>
        </w:rPr>
        <w:t xml:space="preserve"> </w:t>
      </w:r>
      <w:r>
        <w:t>se mantendrá muy por debajo de los promedios de largo plazo y de los niveles necesarios para alcanzar los objetivos vinculados con el alivio de la pobreza.</w:t>
      </w:r>
    </w:p>
    <w:p w14:paraId="339003E1" w14:textId="77777777" w:rsidR="00A2546C" w:rsidRDefault="00A2546C" w:rsidP="00A2546C">
      <w:pPr>
        <w:autoSpaceDE w:val="0"/>
        <w:autoSpaceDN w:val="0"/>
        <w:adjustRightInd w:val="0"/>
        <w:spacing w:after="0" w:line="240" w:lineRule="auto"/>
        <w:rPr>
          <w:highlight w:val="yellow"/>
        </w:rPr>
      </w:pPr>
    </w:p>
    <w:p w14:paraId="61B7FF05" w14:textId="048BA943" w:rsidR="00A2546C" w:rsidRPr="00E42513" w:rsidRDefault="00A2546C" w:rsidP="00A2546C">
      <w:pPr>
        <w:autoSpaceDE w:val="0"/>
        <w:autoSpaceDN w:val="0"/>
        <w:adjustRightInd w:val="0"/>
        <w:spacing w:after="0" w:line="240" w:lineRule="auto"/>
        <w:rPr>
          <w:i/>
        </w:rPr>
      </w:pPr>
      <w:r w:rsidRPr="002537B5">
        <w:lastRenderedPageBreak/>
        <w:t xml:space="preserve">“Las bajas tasas de interés mundiales ofrecen solo una protección precaria contra las crisis financieras”, sostuvo el </w:t>
      </w:r>
      <w:r w:rsidRPr="002537B5">
        <w:rPr>
          <w:b/>
          <w:bCs/>
        </w:rPr>
        <w:t>director del Grupo de Perspectivas del Banco Mundial, Ayhan Kose</w:t>
      </w:r>
      <w:r w:rsidRPr="002537B5">
        <w:t>.</w:t>
      </w:r>
      <w:r w:rsidR="002537B5">
        <w:t xml:space="preserve"> </w:t>
      </w:r>
      <w:r w:rsidRPr="002537B5">
        <w:t>“La historia muestra que las oleadas de acumulación de deuda no suelen tener final feliz. En un entorno mundial frágil, es fundamental implementar mejoras en las políticas a fin de minimizar los riesgos asociados con la actual ola de endeudamiento”.</w:t>
      </w:r>
    </w:p>
    <w:p w14:paraId="2681EEEF" w14:textId="77777777" w:rsidR="00A2546C" w:rsidRDefault="00A2546C" w:rsidP="004B55E5">
      <w:pPr>
        <w:ind w:left="-5" w:right="11"/>
      </w:pPr>
    </w:p>
    <w:p w14:paraId="35459D14" w14:textId="6A145322" w:rsidR="00881C61" w:rsidRDefault="001178DC" w:rsidP="004B55E5">
      <w:pPr>
        <w:ind w:left="-5" w:right="11"/>
      </w:pPr>
      <w:r>
        <w:t xml:space="preserve">En las secciones analíticas de esta edición de </w:t>
      </w:r>
      <w:r>
        <w:rPr>
          <w:i/>
          <w:iCs/>
        </w:rPr>
        <w:t>Perspectivas económicas mundiales</w:t>
      </w:r>
      <w:r>
        <w:t xml:space="preserve"> se abordan diversos temas clave de la actualidad:</w:t>
      </w:r>
      <w:r w:rsidR="008B43DB">
        <w:t xml:space="preserve"> </w:t>
      </w:r>
    </w:p>
    <w:p w14:paraId="4AA7C7E1" w14:textId="277FB317" w:rsidR="007F36E2" w:rsidRDefault="007F36E2" w:rsidP="007F36E2">
      <w:pPr>
        <w:pStyle w:val="ListParagraph"/>
        <w:numPr>
          <w:ilvl w:val="0"/>
          <w:numId w:val="2"/>
        </w:numPr>
        <w:ind w:right="11"/>
      </w:pPr>
      <w:r>
        <w:rPr>
          <w:b/>
        </w:rPr>
        <w:t>La cuarta oleada: La reciente acumulación de deuda en las economías emergentes y en desarrollo.</w:t>
      </w:r>
      <w:r>
        <w:t xml:space="preserve"> En los últimos 50 años se han registrado cuatro oleadas de acumulación de deuda. La más reciente, que comenzó en 2010, ha sido la</w:t>
      </w:r>
      <w:r w:rsidR="008B43DB">
        <w:t xml:space="preserve"> </w:t>
      </w:r>
      <w:r>
        <w:t>más grande, la más rápida y la más generalizada de las cuatro. Si bien los bajos niveles actuales de las tasas de interés mitigan algunos de los riesgos asociados con un endeudamiento elevado, las oleadas previas desembocaron en crisis financieras de amplio alcance.</w:t>
      </w:r>
      <w:r w:rsidR="008B43DB">
        <w:t xml:space="preserve"> </w:t>
      </w:r>
      <w:r>
        <w:t xml:space="preserve">Entre las políticas que pueden reducir la probabilidad de que surja una crisis o que pueden atenuar sus impactos en caso de que se produzca, se incluyen la elaboración de marcos fiscales y monetarios resilientes, la instauración de sólidos regímenes regulatorios y de supervisión, y la aplicación de prácticas transparentes de gestión de la deuda. </w:t>
      </w:r>
    </w:p>
    <w:p w14:paraId="21ABE4BF" w14:textId="4DEA4570" w:rsidR="006C6243" w:rsidRDefault="00CD2F24" w:rsidP="008A5E76">
      <w:pPr>
        <w:pStyle w:val="ListParagraph"/>
        <w:numPr>
          <w:ilvl w:val="0"/>
          <w:numId w:val="2"/>
        </w:numPr>
        <w:ind w:right="11"/>
      </w:pPr>
      <w:r>
        <w:rPr>
          <w:b/>
        </w:rPr>
        <w:t>La promesa se desvanece:</w:t>
      </w:r>
      <w:r w:rsidR="008B43DB">
        <w:rPr>
          <w:b/>
        </w:rPr>
        <w:t xml:space="preserve"> </w:t>
      </w:r>
      <w:r>
        <w:rPr>
          <w:b/>
        </w:rPr>
        <w:t>Cómo reactivar el aumento de la productividad.</w:t>
      </w:r>
      <w:r>
        <w:t xml:space="preserve"> La desaceleración del aumento de la productividad, fuente fundamental del incremento de los ingresos y motor de la reducción de la pobreza, producida desde la crisis financiera mundial</w:t>
      </w:r>
      <w:r w:rsidR="008B43DB">
        <w:t xml:space="preserve"> </w:t>
      </w:r>
      <w:r>
        <w:t xml:space="preserve">ha sido la más abrupta y la más generalizada de </w:t>
      </w:r>
      <w:proofErr w:type="gramStart"/>
      <w:r>
        <w:t>las últimos 40 años</w:t>
      </w:r>
      <w:proofErr w:type="gramEnd"/>
      <w:r>
        <w:t xml:space="preserve">. En los mercados emergentes y las economías en desarrollo, esta desaceleración ha reflejado la debilidad de las inversiones y la merma en los aumentos de la eficiencia, así como una menor reasignación de recursos entre los distintos sectores. El ritmo de las mejoras en relación con numerosos factores clave de la productividad laboral (incluidas la educación y las instituciones) ha decaído o se ha estancado desde la crisis financiera mundial. </w:t>
      </w:r>
    </w:p>
    <w:p w14:paraId="5A733D57" w14:textId="4EA359CA" w:rsidR="005316C9" w:rsidRDefault="002D55E7" w:rsidP="008A5E76">
      <w:pPr>
        <w:pStyle w:val="ListParagraph"/>
        <w:numPr>
          <w:ilvl w:val="0"/>
          <w:numId w:val="2"/>
        </w:numPr>
        <w:ind w:right="11"/>
      </w:pPr>
      <w:r>
        <w:rPr>
          <w:b/>
        </w:rPr>
        <w:t>Controles de precios: Buenas intenciones, malos resultados.</w:t>
      </w:r>
      <w:r>
        <w:t xml:space="preserve"> Los controles de precios son una herramienta ampliamente utilizada en los mercados emergentes y las economías en desarrollo. Si bien</w:t>
      </w:r>
      <w:r w:rsidR="008B43DB">
        <w:t xml:space="preserve"> </w:t>
      </w:r>
      <w:r>
        <w:t xml:space="preserve">en ocasiones se emplean como instrumento de la política social, los controles de precios pueden disminuir la inversión y el crecimiento, empeorar los resultados referidos a la pobreza, </w:t>
      </w:r>
      <w:r w:rsidR="00A2546C">
        <w:t xml:space="preserve">llevar a los países a </w:t>
      </w:r>
      <w:r>
        <w:t xml:space="preserve">generar una pesada carga fiscal y complicar la aplicación eficaz de la política monetaria. El reemplazo de estos controles por redes de seguridad social mejor orientadas y más extensas, reformas que alienten la competencia y un entorno regulatorio sólido puede resultar favorable para los pobres y el crecimiento. </w:t>
      </w:r>
    </w:p>
    <w:p w14:paraId="1205172A" w14:textId="77777777" w:rsidR="00377184" w:rsidRDefault="00145073" w:rsidP="008A5E76">
      <w:pPr>
        <w:pStyle w:val="ListParagraph"/>
        <w:numPr>
          <w:ilvl w:val="0"/>
          <w:numId w:val="2"/>
        </w:numPr>
        <w:ind w:right="11"/>
      </w:pPr>
      <w:r>
        <w:rPr>
          <w:b/>
        </w:rPr>
        <w:t>¿Tasas bajas durante cuánto tiempo más? La inflación en los países de ingreso bajo.</w:t>
      </w:r>
      <w:r>
        <w:t xml:space="preserve"> En los países de ingreso bajo, la inflación ha caído a una mediana del 3 % a mitad de 2019, después de ubicarse en el 25 % en 1994. Esta reducción tuvo como base regímenes de tipo de cambio más flexibles, mayor independencia de los bancos centrales, menor endeudamiento de los Gobiernos y un entorno externo más benigno. Sin embargo, para mantener niveles de inflación bajos y estables en un contexto de presiones fiscales crecientes y de riesgo de crisis cambiarias, los funcionarios responsables deben fortalecer los marcos de política monetaria y la capacidad de los bancos centrales, y reemplazar los controles de precios por políticas más eficientes. </w:t>
      </w:r>
    </w:p>
    <w:p w14:paraId="139656D3" w14:textId="77777777" w:rsidR="005901EF" w:rsidRDefault="005901EF" w:rsidP="005901EF">
      <w:pPr>
        <w:ind w:left="0" w:right="-10" w:firstLine="0"/>
        <w:rPr>
          <w:b/>
        </w:rPr>
      </w:pPr>
      <w:r>
        <w:rPr>
          <w:b/>
        </w:rPr>
        <w:t>Perspectivas regionales:</w:t>
      </w:r>
    </w:p>
    <w:p w14:paraId="098DA38A" w14:textId="4430EB5B" w:rsidR="006310EA" w:rsidRPr="003C4F4E" w:rsidRDefault="006310EA" w:rsidP="006310EA">
      <w:pPr>
        <w:ind w:left="0" w:right="-10" w:firstLine="0"/>
        <w:rPr>
          <w:u w:val="single"/>
        </w:rPr>
      </w:pPr>
      <w:r>
        <w:rPr>
          <w:b/>
        </w:rPr>
        <w:t>Asia oriental y el Pacífico:</w:t>
      </w:r>
      <w:r>
        <w:t xml:space="preserve"> El crecimiento de la región se atenuará, según las proyecciones, y se ubicará en el 5,7 % en 2020, como reflejo de la moderada desaceleración de China, que mostrará una tasa del 5,9 % este año en un contexto desfavorable tanto dentro del país como en el ámbito internacional, lo que incluye el impacto persistente de las tensiones comerciales. Si se excluye China, las proyecciones indican que el crecimiento regional se recuperará ligeramente para llegar al 4,9 %, dado que la demanda interna se verá beneficiada por la presencia de condiciones financieras en general favorables, bajos niveles de inflación y fuertes flujos de capital en algunos países (Camboya, Filipinas, Tailandia y Vietnam), y como consecuencia de la puesta en marcha de grandes proyectos de infraestructura (Filipinas y Tailandia).</w:t>
      </w:r>
      <w:r w:rsidR="008B43DB">
        <w:t xml:space="preserve"> </w:t>
      </w:r>
      <w:r>
        <w:t>El crecimiento regional también se verá beneficiado con la reducción de la incertidumbre respecto de las políticas comerciales en el mundo y la recuperación moderada, aunque aún tenue, del comercio mundial.</w:t>
      </w:r>
      <w:r>
        <w:rPr>
          <w:u w:val="single"/>
        </w:rPr>
        <w:t xml:space="preserve"> </w:t>
      </w:r>
    </w:p>
    <w:p w14:paraId="19C7922B" w14:textId="374B2925" w:rsidR="00DB5AA5" w:rsidRDefault="00DB5AA5" w:rsidP="00FC3F7B">
      <w:pPr>
        <w:ind w:left="0" w:right="-10" w:firstLine="0"/>
      </w:pPr>
      <w:r>
        <w:rPr>
          <w:b/>
          <w:bCs/>
        </w:rPr>
        <w:t>Europa y Asia central:</w:t>
      </w:r>
      <w:r w:rsidR="008B43DB">
        <w:t xml:space="preserve"> </w:t>
      </w:r>
      <w:r>
        <w:t>Se espera que el crecimiento de la región se afirme en torno al 2,6 % en 2020; en esta previsión se toma como supuesto que los precios de los principales productos básicos se estabilizarán, la zona del euro crecerá</w:t>
      </w:r>
      <w:r w:rsidR="008B43DB">
        <w:t xml:space="preserve"> </w:t>
      </w:r>
      <w:r>
        <w:t xml:space="preserve">y Turquía y Rusia se recuperarán (con un 3 % y un 1,6 %, respectivamente). Según las proyecciones, las economías de Europa central se desacelerarán hasta situarse en un 3,4 % como consecuencia del debilitamiento del apoyo fiscal y la persistencia de las presiones demográficas, mientras que los países de Asia central crecerán a un ritmo sólido impulsados por los avances en las reformas estructurales. En los Balcanes occidentales, se prevé que el crecimiento se consolidará en un 3,6 % (aunque es posible que las consecuencias de los devastadores terremotos sufridos en la región influyan en las perspectivas), mientras </w:t>
      </w:r>
      <w:proofErr w:type="gramStart"/>
      <w:r>
        <w:t>que</w:t>
      </w:r>
      <w:proofErr w:type="gramEnd"/>
      <w:r>
        <w:t xml:space="preserve"> en el sur de la región del Cáucaso, se desacelerará a un 3,1 %.</w:t>
      </w:r>
    </w:p>
    <w:p w14:paraId="183F3578" w14:textId="4874FA53" w:rsidR="006310EA" w:rsidRPr="00923211" w:rsidRDefault="006310EA" w:rsidP="00923211">
      <w:pPr>
        <w:ind w:left="0" w:right="-10" w:firstLine="0"/>
        <w:rPr>
          <w:b/>
          <w:color w:val="auto"/>
          <w:u w:val="single"/>
        </w:rPr>
      </w:pPr>
      <w:r>
        <w:rPr>
          <w:b/>
        </w:rPr>
        <w:t>América Latina y el Caribe:</w:t>
      </w:r>
      <w:r>
        <w:t xml:space="preserve"> Se espera que en 2020 el crecimiento regional aumente al 1,8 % a medida que se consolide el crecimiento en las economías más grandes y se eleve la demanda interna en toda la región. </w:t>
      </w:r>
      <w:r>
        <w:rPr>
          <w:color w:val="auto"/>
        </w:rPr>
        <w:t>En Brasil, se prevé que el aumento de la confianza entre los inversionistas y la flexibilización gradual de las condiciones del financiamiento y el mercado laboral sirvan de base para que el crecimiento se acelere al 2 %.</w:t>
      </w:r>
      <w:r w:rsidR="008B43DB">
        <w:rPr>
          <w:color w:val="auto"/>
        </w:rPr>
        <w:t xml:space="preserve"> </w:t>
      </w:r>
      <w:r>
        <w:rPr>
          <w:color w:val="auto"/>
        </w:rPr>
        <w:t>En México, el crecimiento aumentará al 1,2 % debido a que la merma en la incertidumbre normativa contribuirá a que las inversiones repunten, mientras que se prevé que Argentina se contraiga a un ritmo más lento, del 1,3 %. En Colombia, los avances en los proyectos de infraestructura permitirán</w:t>
      </w:r>
      <w:r w:rsidR="008B43DB">
        <w:rPr>
          <w:color w:val="auto"/>
        </w:rPr>
        <w:t xml:space="preserve"> </w:t>
      </w:r>
      <w:r>
        <w:rPr>
          <w:color w:val="auto"/>
        </w:rPr>
        <w:t xml:space="preserve">respaldar un aumento en el crecimiento, previsto en un 3,6 %. Asimismo, se espera que el crecimiento de América Central se consolide en un 3 % gracias a la flexibilización de las condiciones crediticias en Costa Rica y el alivio tras los problemas en los proyectos de construcción en Panamá. En el Caribe, el crecimiento se acelerará hasta llegar al 5,6 %, principalmente debido a la producción de petróleo en altamar en Guyana. </w:t>
      </w:r>
    </w:p>
    <w:p w14:paraId="4BF2F8C3" w14:textId="7551973A" w:rsidR="006310EA" w:rsidRPr="006310EA" w:rsidRDefault="006310EA" w:rsidP="006310EA">
      <w:pPr>
        <w:ind w:left="0" w:right="-10" w:firstLine="0"/>
        <w:jc w:val="both"/>
      </w:pPr>
      <w:r>
        <w:rPr>
          <w:b/>
        </w:rPr>
        <w:t>Oriente Medio y Norte de África:</w:t>
      </w:r>
      <w:r>
        <w:t xml:space="preserve"> Según las previsiones, en 2020 el crecimiento de la región se acelerará a una tasa modesta del 2,4 %, en gran parte debido al aumento de las inversiones y el surgimiento de climas más propicios para los negocios.</w:t>
      </w:r>
      <w:r w:rsidR="008B43DB">
        <w:t xml:space="preserve"> </w:t>
      </w:r>
      <w:r>
        <w:t>Los exportadores de petróleo crecerán un 2 %.</w:t>
      </w:r>
      <w:r w:rsidR="008B43DB">
        <w:t xml:space="preserve"> </w:t>
      </w:r>
      <w:r>
        <w:t>En las economías que integran el Consejo de Cooperación del Golfo, las inversiones en infraestructura y las reformas vinculadas con el clima para los negocios impulsarán un crecimiento del 2,2 %. Por otro lado, se prevé que la economía de Irán se estabilice tras un año de contracción a medida que se atenúe el impacto de las sanciones impuestas por Estados Unidos, y la producción y exportación de petróleo se estabilicen. En Argelia se espera un aumento del 1,9 % en el crecimiento debido a la reducción de la incertidumbre normativa y el repunte de las inversiones. Los países importadores de petróleo, por su parte, crecerán a un 4,4 %, según las previsiones. Asimismo, se espera que el aumento de las inversiones y del consumo privado sirvan de base para una suba del 5,8 % en el crecimiento de Egipto en el ejercicio de 2020.</w:t>
      </w:r>
    </w:p>
    <w:p w14:paraId="433E2536" w14:textId="5E93DE6F" w:rsidR="0050645E" w:rsidRPr="0050645E" w:rsidRDefault="0050645E" w:rsidP="0050645E">
      <w:pPr>
        <w:ind w:left="0" w:right="-10" w:firstLine="0"/>
      </w:pPr>
      <w:r>
        <w:rPr>
          <w:b/>
        </w:rPr>
        <w:t>Asia meridional:</w:t>
      </w:r>
      <w:r>
        <w:t xml:space="preserve"> Según las previsiones, el crecimiento de la región alcanzará un 5,5 % en 2020, como consecuencia del modesto repunte que se espera en la demanda interna,</w:t>
      </w:r>
      <w:r w:rsidR="008B43DB">
        <w:t xml:space="preserve"> </w:t>
      </w:r>
      <w:r>
        <w:t>de los efectos positivos que tendrá la acomodación de las políticas en India y Sri Lanka, y del aumento de la confianza</w:t>
      </w:r>
      <w:r w:rsidR="008B43DB">
        <w:t xml:space="preserve"> </w:t>
      </w:r>
      <w:r>
        <w:t>en el ámbito de los negocios y el apoyo derivado de las inversiones en infraestructura en Afganistán, Bangladesh y Pakistán.</w:t>
      </w:r>
      <w:r w:rsidR="008B43DB">
        <w:t xml:space="preserve"> </w:t>
      </w:r>
      <w:r>
        <w:t>En India, donde se espera que persista la debilidad en el crédito otorgado por compañías financieras no bancarias, el crecimiento se desacelerará hasta el 5 % en el ejercicio de 2019-20 (que finaliza el 31 de marzo) y se recuperará hasta llegar al 5,8 % en el ejercicio siguiente.</w:t>
      </w:r>
      <w:r w:rsidR="008B43DB">
        <w:t xml:space="preserve"> </w:t>
      </w:r>
      <w:r>
        <w:t>En Pakistán, el crecimiento aumentará al 3 % durante el próximo ejercicio económico después de haber tocado fondo con el 2,4 % en el ejercicio de 2019-20, que finaliza el 30 de junio. En Bangladesh, por otro lado, el crecimiento se atenuará, según las previsiones, y se situará en el 7,2 % en el ejercicio de 2019-20 (que finaliza el 30 de junio) y en el 7,3 % en el siguiente. Por último, se prevé que en Sri Lanka el crecimiento aumente al 3,3 %.</w:t>
      </w:r>
      <w:r w:rsidR="008B43DB">
        <w:t xml:space="preserve"> </w:t>
      </w:r>
    </w:p>
    <w:p w14:paraId="5AC8C412" w14:textId="77777777" w:rsidR="00A2546C" w:rsidRDefault="00002EC9" w:rsidP="00A2546C">
      <w:pPr>
        <w:ind w:left="0" w:right="-10" w:firstLine="0"/>
      </w:pPr>
      <w:r>
        <w:rPr>
          <w:b/>
        </w:rPr>
        <w:t>África al sur del Sahara:</w:t>
      </w:r>
      <w:r>
        <w:t xml:space="preserve"> Según se espera, el crecimiento de la región repuntará a un 2,9 % en 2020. En esta previsión se da</w:t>
      </w:r>
      <w:r w:rsidR="008B43DB">
        <w:t xml:space="preserve"> </w:t>
      </w:r>
      <w:r>
        <w:t>por supuesto que mejorará la confianza de los inversionistas en algunas de las grandes economías de la región, se atenuarán los problemas energéticos, el incremento de la producción petrolera contribuirá a la recuperación de los países exportadores de petróleo y se mantendrán las sólidas tasas de crecimiento de los exportadores de productos básicos agrícolas. Las proyecciones son menos favorables de lo que se anticipaba como reflejo de la merma en la demanda de los principales socios comerciales, la baja en los precios de los productos básicos y los acontecimientos adversos registrados en varios países.</w:t>
      </w:r>
      <w:r w:rsidR="008B43DB">
        <w:t xml:space="preserve"> </w:t>
      </w:r>
      <w:r>
        <w:t>En Sudáfrica, se espera que el crecimiento aumente al 0,9 %, siempre que el programa de reforma de la nueva administración cobre impulso, se atenúe la incertidumbre normativa y se recupere gradualmente la inversión. En Nigeria, por otro lado, el crecimiento se acercará al 2,1 % como consecuencia de un marco macroeconómico que no genera confianza. El crecimiento de Angola, en tanto, se acelerará al 1,5 %, siempre que las reformas en curso den como resultado mayor estabilidad macroeconómica, un mejor entorno para los negocios y un aumento de la inversión privada. En la Unión Económica y Monetaria del África Occidental, por su parte, el crecimiento se mantendrá en el 6,4 %. En Kenya, por último, se prevé que se acerque al 6 %.</w:t>
      </w:r>
    </w:p>
    <w:p w14:paraId="445ED130" w14:textId="3B0F7358" w:rsidR="00A2546C" w:rsidRDefault="00A2546C" w:rsidP="00A2546C">
      <w:pPr>
        <w:ind w:left="0" w:right="-10" w:firstLine="0"/>
      </w:pPr>
      <w:r>
        <w:rPr>
          <w:b/>
        </w:rPr>
        <w:t>Contactos:</w:t>
      </w:r>
      <w:r>
        <w:t xml:space="preserve"> </w:t>
      </w:r>
    </w:p>
    <w:p w14:paraId="048C0910" w14:textId="77777777" w:rsidR="00A2546C" w:rsidRDefault="00A2546C" w:rsidP="00A2546C">
      <w:pPr>
        <w:spacing w:after="67"/>
        <w:ind w:left="1427" w:right="11" w:hanging="1441"/>
        <w:rPr>
          <w:color w:val="0000FF"/>
          <w:u w:val="single" w:color="0000FF"/>
        </w:rPr>
      </w:pPr>
      <w:r>
        <w:rPr>
          <w:i/>
        </w:rPr>
        <w:t xml:space="preserve">En la ciudad de Washington: </w:t>
      </w:r>
      <w:r>
        <w:rPr>
          <w:i/>
        </w:rPr>
        <w:tab/>
      </w:r>
      <w:r>
        <w:t xml:space="preserve">Mark Felsenthal, (202) 458-0051, </w:t>
      </w:r>
      <w:hyperlink r:id="rId13" w:history="1">
        <w:r>
          <w:rPr>
            <w:rStyle w:val="Hyperlink"/>
          </w:rPr>
          <w:t>mfelsenthal@worldbank.org</w:t>
        </w:r>
      </w:hyperlink>
    </w:p>
    <w:p w14:paraId="0B447080" w14:textId="77777777" w:rsidR="00A2546C" w:rsidRDefault="00A2546C" w:rsidP="00A2546C">
      <w:pPr>
        <w:spacing w:after="10"/>
        <w:ind w:left="-5" w:right="11"/>
      </w:pPr>
      <w:r>
        <w:rPr>
          <w:i/>
          <w:iCs/>
        </w:rPr>
        <w:t>Para pedidos de contenido multimedia:</w:t>
      </w:r>
      <w:r>
        <w:t xml:space="preserve"> Marcela Sánchez-Bender, (202) 473-5863 </w:t>
      </w:r>
      <w:hyperlink r:id="rId14" w:history="1">
        <w:r>
          <w:rPr>
            <w:rStyle w:val="Hyperlink"/>
          </w:rPr>
          <w:t>msanchezbender@worldbank.org</w:t>
        </w:r>
      </w:hyperlink>
    </w:p>
    <w:p w14:paraId="5B9C8F21" w14:textId="77777777" w:rsidR="00A2546C" w:rsidRDefault="00A2546C" w:rsidP="00A2546C">
      <w:pPr>
        <w:spacing w:after="0" w:line="259" w:lineRule="auto"/>
        <w:ind w:left="0" w:firstLine="0"/>
      </w:pPr>
    </w:p>
    <w:p w14:paraId="202BBA69" w14:textId="77777777" w:rsidR="00A2546C" w:rsidRDefault="00A2546C" w:rsidP="00A2546C">
      <w:pPr>
        <w:spacing w:after="0" w:line="259" w:lineRule="auto"/>
        <w:ind w:left="41" w:right="1" w:hanging="10"/>
        <w:jc w:val="center"/>
      </w:pPr>
      <w:r>
        <w:t xml:space="preserve">Para obtener más información, visite </w:t>
      </w:r>
      <w:hyperlink r:id="rId15" w:history="1">
        <w:r w:rsidRPr="00BF14B5">
          <w:rPr>
            <w:rStyle w:val="Hyperlink"/>
          </w:rPr>
          <w:t>https://www.bancomundial.org/es/publication/global-economic-prospects</w:t>
        </w:r>
      </w:hyperlink>
      <w:r>
        <w:t xml:space="preserve"> </w:t>
      </w:r>
    </w:p>
    <w:p w14:paraId="489B0451" w14:textId="77777777" w:rsidR="00A2546C" w:rsidRPr="009B453C" w:rsidRDefault="00A2546C" w:rsidP="00A2546C">
      <w:pPr>
        <w:spacing w:after="0" w:line="259" w:lineRule="auto"/>
        <w:ind w:left="41" w:right="1" w:hanging="10"/>
        <w:jc w:val="center"/>
        <w:rPr>
          <w:szCs w:val="20"/>
        </w:rPr>
      </w:pPr>
    </w:p>
    <w:p w14:paraId="7E017DC6" w14:textId="77777777" w:rsidR="00A2546C" w:rsidRPr="009B453C" w:rsidRDefault="00A2546C" w:rsidP="00A2546C">
      <w:pPr>
        <w:spacing w:after="0" w:line="259" w:lineRule="auto"/>
        <w:ind w:left="41" w:right="1" w:hanging="10"/>
        <w:jc w:val="center"/>
        <w:rPr>
          <w:szCs w:val="20"/>
        </w:rPr>
      </w:pPr>
      <w:r w:rsidRPr="009B453C">
        <w:rPr>
          <w:szCs w:val="20"/>
        </w:rPr>
        <w:t xml:space="preserve">Visítenos en Facebook: </w:t>
      </w:r>
      <w:hyperlink r:id="rId16" w:history="1">
        <w:r w:rsidRPr="009B453C">
          <w:rPr>
            <w:rStyle w:val="Hyperlink"/>
            <w:szCs w:val="20"/>
          </w:rPr>
          <w:t>http://www.facebook.com/bancomundial</w:t>
        </w:r>
      </w:hyperlink>
      <w:r w:rsidRPr="009B453C">
        <w:rPr>
          <w:color w:val="0000FF"/>
          <w:szCs w:val="20"/>
          <w:u w:val="single" w:color="0000FF"/>
        </w:rPr>
        <w:t xml:space="preserve"> </w:t>
      </w:r>
    </w:p>
    <w:p w14:paraId="1A4319C8" w14:textId="77777777" w:rsidR="00A2546C" w:rsidRPr="009B453C" w:rsidRDefault="0086153C" w:rsidP="00A2546C">
      <w:pPr>
        <w:spacing w:after="0" w:line="259" w:lineRule="auto"/>
        <w:ind w:left="41" w:right="2" w:hanging="10"/>
        <w:jc w:val="center"/>
        <w:rPr>
          <w:szCs w:val="20"/>
        </w:rPr>
      </w:pPr>
      <w:hyperlink r:id="rId17">
        <w:r w:rsidR="00A2546C" w:rsidRPr="009B453C">
          <w:rPr>
            <w:szCs w:val="20"/>
          </w:rPr>
          <w:t xml:space="preserve">Manténgase informado vía Twitter: </w:t>
        </w:r>
        <w:r w:rsidR="00A2546C" w:rsidRPr="009B453C">
          <w:rPr>
            <w:color w:val="0000FF"/>
            <w:szCs w:val="20"/>
            <w:u w:val="single" w:color="0000FF"/>
          </w:rPr>
          <w:t>http://</w:t>
        </w:r>
      </w:hyperlink>
      <w:hyperlink r:id="rId18">
        <w:r w:rsidR="00A2546C" w:rsidRPr="009B453C">
          <w:rPr>
            <w:color w:val="0000FF"/>
            <w:szCs w:val="20"/>
            <w:u w:val="single" w:color="0000FF"/>
          </w:rPr>
          <w:t>twitter.com/BancoMundial</w:t>
        </w:r>
      </w:hyperlink>
      <w:r w:rsidR="00A2546C" w:rsidRPr="009B453C">
        <w:rPr>
          <w:color w:val="0000FF"/>
          <w:szCs w:val="20"/>
          <w:u w:val="single" w:color="0000FF"/>
        </w:rPr>
        <w:t xml:space="preserve"> </w:t>
      </w:r>
    </w:p>
    <w:p w14:paraId="1B40C315" w14:textId="77777777" w:rsidR="00A2546C" w:rsidRPr="009B453C" w:rsidRDefault="0086153C" w:rsidP="00A2546C">
      <w:pPr>
        <w:spacing w:after="0" w:line="259" w:lineRule="auto"/>
        <w:ind w:left="41" w:hanging="10"/>
        <w:jc w:val="center"/>
        <w:rPr>
          <w:szCs w:val="20"/>
        </w:rPr>
      </w:pPr>
      <w:hyperlink r:id="rId19">
        <w:r w:rsidR="00A2546C" w:rsidRPr="009B453C">
          <w:rPr>
            <w:szCs w:val="20"/>
          </w:rPr>
          <w:t xml:space="preserve">Vea nuestro canal en YouTube: </w:t>
        </w:r>
        <w:r w:rsidR="00A2546C" w:rsidRPr="009B453C">
          <w:rPr>
            <w:color w:val="0000FF"/>
            <w:szCs w:val="20"/>
            <w:u w:val="single" w:color="0000FF"/>
          </w:rPr>
          <w:t>http://</w:t>
        </w:r>
      </w:hyperlink>
      <w:hyperlink r:id="rId20">
        <w:r w:rsidR="00A2546C" w:rsidRPr="009B453C">
          <w:rPr>
            <w:color w:val="0000FF"/>
            <w:szCs w:val="20"/>
            <w:u w:val="single" w:color="0000FF"/>
          </w:rPr>
          <w:t>www.youtube.com/worldbank</w:t>
        </w:r>
      </w:hyperlink>
      <w:r w:rsidR="00A2546C" w:rsidRPr="009B453C">
        <w:rPr>
          <w:color w:val="0000FF"/>
          <w:szCs w:val="20"/>
          <w:u w:val="single" w:color="0000FF"/>
        </w:rPr>
        <w:t xml:space="preserve"> </w:t>
      </w:r>
    </w:p>
    <w:p w14:paraId="1E88C3AA" w14:textId="77777777" w:rsidR="00A2546C" w:rsidRDefault="00A2546C" w:rsidP="00A2546C">
      <w:pPr>
        <w:spacing w:after="6"/>
        <w:ind w:left="1" w:right="11" w:firstLine="0"/>
        <w:rPr>
          <w:b/>
        </w:rPr>
      </w:pPr>
    </w:p>
    <w:p w14:paraId="7FC70BB9" w14:textId="77777777" w:rsidR="00A2546C" w:rsidRDefault="00A2546C" w:rsidP="00A2546C">
      <w:pPr>
        <w:spacing w:after="6"/>
        <w:ind w:left="1" w:right="11" w:firstLine="0"/>
        <w:rPr>
          <w:b/>
        </w:rPr>
      </w:pPr>
    </w:p>
    <w:p w14:paraId="1219B68A" w14:textId="77777777" w:rsidR="00A2546C" w:rsidRDefault="00A2546C" w:rsidP="00A2546C">
      <w:pPr>
        <w:spacing w:after="6"/>
        <w:ind w:left="1" w:right="11" w:firstLine="0"/>
        <w:rPr>
          <w:b/>
        </w:rPr>
      </w:pPr>
      <w:r>
        <w:rPr>
          <w:b/>
        </w:rPr>
        <w:t>Comunicado de prensa</w:t>
      </w:r>
    </w:p>
    <w:p w14:paraId="7F7C8932" w14:textId="77777777" w:rsidR="00A2546C" w:rsidRDefault="00A2546C" w:rsidP="00A2546C">
      <w:pPr>
        <w:spacing w:after="0" w:line="259" w:lineRule="auto"/>
        <w:ind w:left="1" w:firstLine="0"/>
      </w:pPr>
      <w:r>
        <w:t>2020/101/EFI</w:t>
      </w:r>
    </w:p>
    <w:p w14:paraId="52E45379" w14:textId="430F626B" w:rsidR="00C04ADD" w:rsidRDefault="00C04ADD">
      <w:pPr>
        <w:spacing w:after="160" w:line="259" w:lineRule="auto"/>
        <w:ind w:left="0" w:firstLine="0"/>
      </w:pPr>
    </w:p>
    <w:p w14:paraId="403F839B" w14:textId="699C17F4" w:rsidR="00237CD9" w:rsidRDefault="00237CD9">
      <w:pPr>
        <w:spacing w:after="160" w:line="259" w:lineRule="auto"/>
        <w:ind w:left="0" w:firstLine="0"/>
      </w:pPr>
      <w:r>
        <w:br w:type="page"/>
      </w:r>
    </w:p>
    <w:p w14:paraId="244FCE9F" w14:textId="77777777" w:rsidR="0072792B" w:rsidRDefault="0072792B">
      <w:pPr>
        <w:spacing w:after="160" w:line="259" w:lineRule="auto"/>
        <w:ind w:left="0" w:firstLine="0"/>
      </w:pPr>
    </w:p>
    <w:tbl>
      <w:tblPr>
        <w:tblW w:w="10080" w:type="dxa"/>
        <w:tblLayout w:type="fixed"/>
        <w:tblLook w:val="04A0" w:firstRow="1" w:lastRow="0" w:firstColumn="1" w:lastColumn="0" w:noHBand="0" w:noVBand="1"/>
      </w:tblPr>
      <w:tblGrid>
        <w:gridCol w:w="419"/>
        <w:gridCol w:w="551"/>
        <w:gridCol w:w="614"/>
        <w:gridCol w:w="348"/>
        <w:gridCol w:w="2118"/>
        <w:gridCol w:w="720"/>
        <w:gridCol w:w="630"/>
        <w:gridCol w:w="630"/>
        <w:gridCol w:w="630"/>
        <w:gridCol w:w="630"/>
        <w:gridCol w:w="630"/>
        <w:gridCol w:w="270"/>
        <w:gridCol w:w="630"/>
        <w:gridCol w:w="630"/>
        <w:gridCol w:w="630"/>
      </w:tblGrid>
      <w:tr w:rsidR="00C04ADD" w:rsidRPr="00920DA9" w14:paraId="33D23FEF" w14:textId="77777777" w:rsidTr="00C04ADD">
        <w:trPr>
          <w:trHeight w:val="375"/>
        </w:trPr>
        <w:tc>
          <w:tcPr>
            <w:tcW w:w="4050" w:type="dxa"/>
            <w:gridSpan w:val="5"/>
            <w:tcBorders>
              <w:top w:val="nil"/>
              <w:left w:val="nil"/>
              <w:bottom w:val="nil"/>
              <w:right w:val="nil"/>
            </w:tcBorders>
            <w:shd w:val="clear" w:color="000000" w:fill="FFFFFF"/>
            <w:noWrap/>
            <w:vAlign w:val="bottom"/>
            <w:hideMark/>
          </w:tcPr>
          <w:p w14:paraId="505C2BEB" w14:textId="77777777" w:rsidR="00CE4C94" w:rsidRPr="00920DA9" w:rsidRDefault="00CE4C94" w:rsidP="00CE4C94">
            <w:pPr>
              <w:spacing w:after="0" w:line="240" w:lineRule="auto"/>
              <w:ind w:left="0" w:firstLine="0"/>
              <w:rPr>
                <w:rFonts w:eastAsia="Times New Roman"/>
                <w:b/>
                <w:bCs/>
                <w:color w:val="auto"/>
                <w:sz w:val="18"/>
                <w:szCs w:val="18"/>
              </w:rPr>
            </w:pPr>
            <w:r w:rsidRPr="00920DA9">
              <w:rPr>
                <w:b/>
                <w:bCs/>
                <w:color w:val="auto"/>
                <w:sz w:val="18"/>
                <w:szCs w:val="18"/>
              </w:rPr>
              <w:t>Cuadro 1.1: PIB real</w:t>
            </w:r>
            <w:r w:rsidRPr="00920DA9">
              <w:rPr>
                <w:bCs/>
                <w:color w:val="auto"/>
                <w:sz w:val="18"/>
                <w:szCs w:val="18"/>
                <w:vertAlign w:val="superscript"/>
              </w:rPr>
              <w:t>1</w:t>
            </w:r>
          </w:p>
        </w:tc>
        <w:tc>
          <w:tcPr>
            <w:tcW w:w="720" w:type="dxa"/>
            <w:tcBorders>
              <w:top w:val="nil"/>
              <w:left w:val="nil"/>
              <w:bottom w:val="nil"/>
              <w:right w:val="nil"/>
            </w:tcBorders>
            <w:shd w:val="clear" w:color="000000" w:fill="FFFFFF"/>
            <w:noWrap/>
            <w:vAlign w:val="bottom"/>
            <w:hideMark/>
          </w:tcPr>
          <w:p w14:paraId="7B0DC7F6"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bottom"/>
            <w:hideMark/>
          </w:tcPr>
          <w:p w14:paraId="5ABD104B"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bottom"/>
            <w:hideMark/>
          </w:tcPr>
          <w:p w14:paraId="2226E4B1"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bottom"/>
            <w:hideMark/>
          </w:tcPr>
          <w:p w14:paraId="49200CCD"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bottom"/>
            <w:hideMark/>
          </w:tcPr>
          <w:p w14:paraId="6D97FEA5"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bottom"/>
            <w:hideMark/>
          </w:tcPr>
          <w:p w14:paraId="7B10E88A"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270" w:type="dxa"/>
            <w:tcBorders>
              <w:top w:val="nil"/>
              <w:left w:val="nil"/>
              <w:bottom w:val="nil"/>
              <w:right w:val="nil"/>
            </w:tcBorders>
            <w:shd w:val="clear" w:color="auto" w:fill="auto"/>
            <w:noWrap/>
            <w:vAlign w:val="bottom"/>
            <w:hideMark/>
          </w:tcPr>
          <w:p w14:paraId="52B5E5DA" w14:textId="77777777" w:rsidR="00CE4C94" w:rsidRPr="00920DA9" w:rsidRDefault="00CE4C94" w:rsidP="00CE4C94">
            <w:pPr>
              <w:spacing w:after="0" w:line="240" w:lineRule="auto"/>
              <w:ind w:left="0" w:firstLine="0"/>
              <w:rPr>
                <w:rFonts w:eastAsia="Times New Roman"/>
                <w:color w:val="244062"/>
                <w:sz w:val="18"/>
                <w:szCs w:val="18"/>
                <w:lang w:eastAsia="zh-TW"/>
              </w:rPr>
            </w:pPr>
          </w:p>
        </w:tc>
        <w:tc>
          <w:tcPr>
            <w:tcW w:w="630" w:type="dxa"/>
            <w:tcBorders>
              <w:top w:val="nil"/>
              <w:left w:val="nil"/>
              <w:bottom w:val="nil"/>
              <w:right w:val="nil"/>
            </w:tcBorders>
            <w:shd w:val="clear" w:color="auto" w:fill="auto"/>
            <w:noWrap/>
            <w:vAlign w:val="bottom"/>
            <w:hideMark/>
          </w:tcPr>
          <w:p w14:paraId="273FAF71"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30" w:type="dxa"/>
            <w:tcBorders>
              <w:top w:val="nil"/>
              <w:left w:val="nil"/>
              <w:bottom w:val="nil"/>
              <w:right w:val="nil"/>
            </w:tcBorders>
            <w:shd w:val="clear" w:color="auto" w:fill="auto"/>
            <w:noWrap/>
            <w:vAlign w:val="bottom"/>
            <w:hideMark/>
          </w:tcPr>
          <w:p w14:paraId="513A5452"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30" w:type="dxa"/>
            <w:tcBorders>
              <w:top w:val="nil"/>
              <w:left w:val="nil"/>
              <w:bottom w:val="nil"/>
              <w:right w:val="nil"/>
            </w:tcBorders>
            <w:shd w:val="clear" w:color="auto" w:fill="auto"/>
            <w:noWrap/>
            <w:vAlign w:val="bottom"/>
            <w:hideMark/>
          </w:tcPr>
          <w:p w14:paraId="45C1B890"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r>
      <w:tr w:rsidR="00CE4C94" w:rsidRPr="00920DA9" w14:paraId="08FB3A54" w14:textId="77777777" w:rsidTr="00C04ADD">
        <w:trPr>
          <w:trHeight w:val="300"/>
        </w:trPr>
        <w:tc>
          <w:tcPr>
            <w:tcW w:w="4770" w:type="dxa"/>
            <w:gridSpan w:val="6"/>
            <w:tcBorders>
              <w:top w:val="nil"/>
              <w:left w:val="nil"/>
              <w:bottom w:val="nil"/>
              <w:right w:val="nil"/>
            </w:tcBorders>
            <w:shd w:val="clear" w:color="auto" w:fill="auto"/>
            <w:hideMark/>
          </w:tcPr>
          <w:p w14:paraId="23EB8293" w14:textId="77777777" w:rsidR="00CE4C94" w:rsidRPr="00920DA9" w:rsidRDefault="00CE4C94" w:rsidP="00CE4C94">
            <w:pPr>
              <w:spacing w:after="0" w:line="240" w:lineRule="auto"/>
              <w:ind w:left="0" w:firstLine="0"/>
              <w:rPr>
                <w:rFonts w:eastAsia="Times New Roman"/>
                <w:i/>
                <w:iCs/>
                <w:color w:val="262626"/>
                <w:sz w:val="18"/>
                <w:szCs w:val="18"/>
              </w:rPr>
            </w:pPr>
            <w:r w:rsidRPr="00920DA9">
              <w:rPr>
                <w:i/>
                <w:iCs/>
                <w:color w:val="262626"/>
                <w:sz w:val="18"/>
                <w:szCs w:val="18"/>
              </w:rPr>
              <w:t>(Variación porcentual respecto del año anterior)</w:t>
            </w:r>
          </w:p>
        </w:tc>
        <w:tc>
          <w:tcPr>
            <w:tcW w:w="630" w:type="dxa"/>
            <w:tcBorders>
              <w:top w:val="nil"/>
              <w:left w:val="nil"/>
              <w:bottom w:val="nil"/>
              <w:right w:val="nil"/>
            </w:tcBorders>
            <w:shd w:val="clear" w:color="auto" w:fill="auto"/>
            <w:vAlign w:val="center"/>
            <w:hideMark/>
          </w:tcPr>
          <w:p w14:paraId="1CFD1793" w14:textId="77777777" w:rsidR="00CE4C94" w:rsidRPr="00920DA9" w:rsidRDefault="00CE4C94" w:rsidP="00CE4C94">
            <w:pPr>
              <w:spacing w:after="0" w:line="240" w:lineRule="auto"/>
              <w:ind w:left="0" w:firstLine="0"/>
              <w:rPr>
                <w:rFonts w:eastAsia="Times New Roman"/>
                <w:i/>
                <w:iCs/>
                <w:color w:val="262626"/>
                <w:sz w:val="18"/>
                <w:szCs w:val="18"/>
                <w:lang w:eastAsia="zh-TW"/>
              </w:rPr>
            </w:pPr>
          </w:p>
        </w:tc>
        <w:tc>
          <w:tcPr>
            <w:tcW w:w="630" w:type="dxa"/>
            <w:tcBorders>
              <w:top w:val="nil"/>
              <w:left w:val="nil"/>
              <w:bottom w:val="nil"/>
              <w:right w:val="nil"/>
            </w:tcBorders>
            <w:shd w:val="clear" w:color="auto" w:fill="auto"/>
            <w:vAlign w:val="center"/>
            <w:hideMark/>
          </w:tcPr>
          <w:p w14:paraId="347E118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30" w:type="dxa"/>
            <w:tcBorders>
              <w:top w:val="nil"/>
              <w:left w:val="nil"/>
              <w:bottom w:val="nil"/>
              <w:right w:val="nil"/>
            </w:tcBorders>
            <w:shd w:val="clear" w:color="auto" w:fill="auto"/>
            <w:vAlign w:val="center"/>
            <w:hideMark/>
          </w:tcPr>
          <w:p w14:paraId="637371E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30" w:type="dxa"/>
            <w:tcBorders>
              <w:top w:val="nil"/>
              <w:left w:val="nil"/>
              <w:bottom w:val="nil"/>
              <w:right w:val="nil"/>
            </w:tcBorders>
            <w:shd w:val="clear" w:color="auto" w:fill="auto"/>
            <w:vAlign w:val="center"/>
            <w:hideMark/>
          </w:tcPr>
          <w:p w14:paraId="5EE5D9E0"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30" w:type="dxa"/>
            <w:tcBorders>
              <w:top w:val="nil"/>
              <w:left w:val="nil"/>
              <w:bottom w:val="nil"/>
              <w:right w:val="nil"/>
            </w:tcBorders>
            <w:shd w:val="clear" w:color="auto" w:fill="auto"/>
            <w:vAlign w:val="center"/>
            <w:hideMark/>
          </w:tcPr>
          <w:p w14:paraId="32E4453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70" w:type="dxa"/>
            <w:tcBorders>
              <w:top w:val="nil"/>
              <w:left w:val="nil"/>
              <w:bottom w:val="nil"/>
              <w:right w:val="nil"/>
            </w:tcBorders>
            <w:shd w:val="clear" w:color="auto" w:fill="auto"/>
            <w:noWrap/>
            <w:vAlign w:val="center"/>
            <w:hideMark/>
          </w:tcPr>
          <w:p w14:paraId="7A40E6F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30" w:type="dxa"/>
            <w:tcBorders>
              <w:top w:val="nil"/>
              <w:left w:val="nil"/>
              <w:bottom w:val="nil"/>
              <w:right w:val="nil"/>
            </w:tcBorders>
            <w:shd w:val="clear" w:color="auto" w:fill="auto"/>
            <w:noWrap/>
            <w:vAlign w:val="center"/>
            <w:hideMark/>
          </w:tcPr>
          <w:p w14:paraId="26EA49B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1260" w:type="dxa"/>
            <w:gridSpan w:val="2"/>
            <w:tcBorders>
              <w:top w:val="nil"/>
              <w:left w:val="nil"/>
              <w:bottom w:val="single" w:sz="4" w:space="0" w:color="auto"/>
              <w:right w:val="nil"/>
            </w:tcBorders>
            <w:shd w:val="clear" w:color="auto" w:fill="auto"/>
            <w:noWrap/>
            <w:vAlign w:val="center"/>
            <w:hideMark/>
          </w:tcPr>
          <w:p w14:paraId="051B724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r>
      <w:tr w:rsidR="00CE4C94" w:rsidRPr="00920DA9" w14:paraId="0882F464" w14:textId="77777777" w:rsidTr="00C04ADD">
        <w:trPr>
          <w:trHeight w:val="735"/>
        </w:trPr>
        <w:tc>
          <w:tcPr>
            <w:tcW w:w="419" w:type="dxa"/>
            <w:tcBorders>
              <w:top w:val="single" w:sz="4" w:space="0" w:color="auto"/>
              <w:left w:val="nil"/>
              <w:bottom w:val="nil"/>
              <w:right w:val="nil"/>
            </w:tcBorders>
            <w:shd w:val="clear" w:color="auto" w:fill="auto"/>
            <w:noWrap/>
            <w:vAlign w:val="center"/>
            <w:hideMark/>
          </w:tcPr>
          <w:p w14:paraId="28F94EA8" w14:textId="77777777" w:rsidR="00CE4C94" w:rsidRPr="00920DA9" w:rsidRDefault="00CE4C94" w:rsidP="00CE4C94">
            <w:pPr>
              <w:spacing w:after="0" w:line="240" w:lineRule="auto"/>
              <w:ind w:left="0" w:firstLine="0"/>
              <w:rPr>
                <w:rFonts w:eastAsia="Times New Roman"/>
                <w:b/>
                <w:bCs/>
                <w:color w:val="244062"/>
                <w:sz w:val="18"/>
                <w:szCs w:val="18"/>
              </w:rPr>
            </w:pPr>
            <w:r w:rsidRPr="00920DA9">
              <w:rPr>
                <w:b/>
                <w:bCs/>
                <w:color w:val="244062"/>
                <w:sz w:val="18"/>
                <w:szCs w:val="18"/>
              </w:rPr>
              <w:t> </w:t>
            </w:r>
          </w:p>
        </w:tc>
        <w:tc>
          <w:tcPr>
            <w:tcW w:w="551" w:type="dxa"/>
            <w:tcBorders>
              <w:top w:val="single" w:sz="4" w:space="0" w:color="auto"/>
              <w:left w:val="nil"/>
              <w:bottom w:val="nil"/>
              <w:right w:val="nil"/>
            </w:tcBorders>
            <w:shd w:val="clear" w:color="auto" w:fill="auto"/>
            <w:noWrap/>
            <w:vAlign w:val="center"/>
            <w:hideMark/>
          </w:tcPr>
          <w:p w14:paraId="7F4B47F6" w14:textId="77777777" w:rsidR="00CE4C94" w:rsidRPr="00920DA9" w:rsidRDefault="00CE4C94" w:rsidP="00CE4C94">
            <w:pPr>
              <w:spacing w:after="0" w:line="240" w:lineRule="auto"/>
              <w:ind w:left="0" w:firstLine="0"/>
              <w:rPr>
                <w:rFonts w:eastAsia="Times New Roman"/>
                <w:b/>
                <w:bCs/>
                <w:color w:val="244062"/>
                <w:sz w:val="18"/>
                <w:szCs w:val="18"/>
              </w:rPr>
            </w:pPr>
            <w:r w:rsidRPr="00920DA9">
              <w:rPr>
                <w:b/>
                <w:bCs/>
                <w:color w:val="244062"/>
                <w:sz w:val="18"/>
                <w:szCs w:val="18"/>
              </w:rPr>
              <w:t> </w:t>
            </w:r>
          </w:p>
        </w:tc>
        <w:tc>
          <w:tcPr>
            <w:tcW w:w="614" w:type="dxa"/>
            <w:tcBorders>
              <w:top w:val="single" w:sz="4" w:space="0" w:color="auto"/>
              <w:left w:val="nil"/>
              <w:bottom w:val="nil"/>
              <w:right w:val="nil"/>
            </w:tcBorders>
            <w:shd w:val="clear" w:color="auto" w:fill="auto"/>
            <w:noWrap/>
            <w:vAlign w:val="center"/>
            <w:hideMark/>
          </w:tcPr>
          <w:p w14:paraId="0614ACC5" w14:textId="77777777" w:rsidR="00CE4C94" w:rsidRPr="00920DA9" w:rsidRDefault="00CE4C94" w:rsidP="00CE4C94">
            <w:pPr>
              <w:spacing w:after="0" w:line="240" w:lineRule="auto"/>
              <w:ind w:left="0" w:firstLine="0"/>
              <w:rPr>
                <w:rFonts w:eastAsia="Times New Roman"/>
                <w:b/>
                <w:bCs/>
                <w:color w:val="244062"/>
                <w:sz w:val="18"/>
                <w:szCs w:val="18"/>
              </w:rPr>
            </w:pPr>
            <w:r w:rsidRPr="00920DA9">
              <w:rPr>
                <w:b/>
                <w:bCs/>
                <w:color w:val="244062"/>
                <w:sz w:val="18"/>
                <w:szCs w:val="18"/>
              </w:rPr>
              <w:t> </w:t>
            </w:r>
          </w:p>
        </w:tc>
        <w:tc>
          <w:tcPr>
            <w:tcW w:w="348" w:type="dxa"/>
            <w:tcBorders>
              <w:top w:val="single" w:sz="4" w:space="0" w:color="auto"/>
              <w:left w:val="nil"/>
              <w:bottom w:val="nil"/>
              <w:right w:val="nil"/>
            </w:tcBorders>
            <w:shd w:val="clear" w:color="auto" w:fill="auto"/>
            <w:noWrap/>
            <w:vAlign w:val="center"/>
            <w:hideMark/>
          </w:tcPr>
          <w:p w14:paraId="6234B38B" w14:textId="77777777" w:rsidR="00CE4C94" w:rsidRPr="00920DA9" w:rsidRDefault="00CE4C94" w:rsidP="00CE4C94">
            <w:pPr>
              <w:spacing w:after="0" w:line="240" w:lineRule="auto"/>
              <w:ind w:left="0" w:firstLine="0"/>
              <w:rPr>
                <w:rFonts w:eastAsia="Times New Roman"/>
                <w:b/>
                <w:bCs/>
                <w:color w:val="244062"/>
                <w:sz w:val="18"/>
                <w:szCs w:val="18"/>
              </w:rPr>
            </w:pPr>
            <w:r w:rsidRPr="00920DA9">
              <w:rPr>
                <w:b/>
                <w:bCs/>
                <w:color w:val="244062"/>
                <w:sz w:val="18"/>
                <w:szCs w:val="18"/>
              </w:rPr>
              <w:t> </w:t>
            </w:r>
          </w:p>
        </w:tc>
        <w:tc>
          <w:tcPr>
            <w:tcW w:w="2118" w:type="dxa"/>
            <w:tcBorders>
              <w:top w:val="single" w:sz="4" w:space="0" w:color="auto"/>
              <w:left w:val="nil"/>
              <w:bottom w:val="nil"/>
              <w:right w:val="nil"/>
            </w:tcBorders>
            <w:shd w:val="clear" w:color="auto" w:fill="auto"/>
            <w:noWrap/>
            <w:vAlign w:val="center"/>
            <w:hideMark/>
          </w:tcPr>
          <w:p w14:paraId="1AD8BB42" w14:textId="77777777" w:rsidR="00CE4C94" w:rsidRPr="00920DA9" w:rsidRDefault="00CE4C94" w:rsidP="00CE4C94">
            <w:pPr>
              <w:spacing w:after="0" w:line="240" w:lineRule="auto"/>
              <w:ind w:left="0" w:firstLine="0"/>
              <w:rPr>
                <w:rFonts w:eastAsia="Times New Roman"/>
                <w:b/>
                <w:bCs/>
                <w:color w:val="244062"/>
                <w:sz w:val="18"/>
                <w:szCs w:val="18"/>
              </w:rPr>
            </w:pPr>
            <w:r w:rsidRPr="00920DA9">
              <w:rPr>
                <w:b/>
                <w:bCs/>
                <w:color w:val="244062"/>
                <w:sz w:val="18"/>
                <w:szCs w:val="18"/>
              </w:rPr>
              <w:t> </w:t>
            </w:r>
          </w:p>
        </w:tc>
        <w:tc>
          <w:tcPr>
            <w:tcW w:w="720" w:type="dxa"/>
            <w:tcBorders>
              <w:top w:val="single" w:sz="4" w:space="0" w:color="auto"/>
              <w:left w:val="nil"/>
              <w:bottom w:val="nil"/>
              <w:right w:val="nil"/>
            </w:tcBorders>
            <w:shd w:val="clear" w:color="auto" w:fill="auto"/>
            <w:noWrap/>
            <w:vAlign w:val="center"/>
            <w:hideMark/>
          </w:tcPr>
          <w:p w14:paraId="07948BB3"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1890" w:type="dxa"/>
            <w:gridSpan w:val="3"/>
            <w:tcBorders>
              <w:top w:val="single" w:sz="4" w:space="0" w:color="auto"/>
              <w:left w:val="nil"/>
              <w:bottom w:val="single" w:sz="4" w:space="0" w:color="000000"/>
              <w:right w:val="nil"/>
            </w:tcBorders>
            <w:shd w:val="clear" w:color="auto" w:fill="auto"/>
            <w:noWrap/>
            <w:vAlign w:val="center"/>
            <w:hideMark/>
          </w:tcPr>
          <w:p w14:paraId="68C018C2"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single" w:sz="4" w:space="0" w:color="auto"/>
              <w:left w:val="nil"/>
              <w:bottom w:val="nil"/>
              <w:right w:val="nil"/>
            </w:tcBorders>
            <w:shd w:val="clear" w:color="auto" w:fill="auto"/>
            <w:noWrap/>
            <w:vAlign w:val="center"/>
            <w:hideMark/>
          </w:tcPr>
          <w:p w14:paraId="2C82B64D"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single" w:sz="4" w:space="0" w:color="auto"/>
              <w:left w:val="nil"/>
              <w:bottom w:val="nil"/>
              <w:right w:val="nil"/>
            </w:tcBorders>
            <w:shd w:val="clear" w:color="auto" w:fill="auto"/>
            <w:noWrap/>
            <w:vAlign w:val="center"/>
            <w:hideMark/>
          </w:tcPr>
          <w:p w14:paraId="2D986A10"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270" w:type="dxa"/>
            <w:tcBorders>
              <w:top w:val="single" w:sz="4" w:space="0" w:color="auto"/>
              <w:left w:val="nil"/>
              <w:bottom w:val="nil"/>
              <w:right w:val="nil"/>
            </w:tcBorders>
            <w:shd w:val="clear" w:color="auto" w:fill="auto"/>
            <w:noWrap/>
            <w:vAlign w:val="center"/>
            <w:hideMark/>
          </w:tcPr>
          <w:p w14:paraId="4B29A33B"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1890" w:type="dxa"/>
            <w:gridSpan w:val="3"/>
            <w:tcBorders>
              <w:top w:val="single" w:sz="4" w:space="0" w:color="auto"/>
              <w:left w:val="nil"/>
              <w:bottom w:val="single" w:sz="4" w:space="0" w:color="auto"/>
              <w:right w:val="nil"/>
            </w:tcBorders>
            <w:shd w:val="clear" w:color="auto" w:fill="auto"/>
            <w:vAlign w:val="center"/>
            <w:hideMark/>
          </w:tcPr>
          <w:p w14:paraId="1767E9D9"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Diferencia en puntos porcentuales respecto de las proyecciones de junio de 2019</w:t>
            </w:r>
          </w:p>
        </w:tc>
      </w:tr>
      <w:tr w:rsidR="00C04ADD" w:rsidRPr="00920DA9" w14:paraId="4A11819C" w14:textId="77777777" w:rsidTr="00C04ADD">
        <w:trPr>
          <w:trHeight w:val="345"/>
        </w:trPr>
        <w:tc>
          <w:tcPr>
            <w:tcW w:w="419" w:type="dxa"/>
            <w:tcBorders>
              <w:top w:val="nil"/>
              <w:left w:val="nil"/>
              <w:bottom w:val="nil"/>
              <w:right w:val="nil"/>
            </w:tcBorders>
            <w:shd w:val="clear" w:color="auto" w:fill="auto"/>
            <w:noWrap/>
            <w:vAlign w:val="center"/>
            <w:hideMark/>
          </w:tcPr>
          <w:p w14:paraId="22E6498A" w14:textId="77777777" w:rsidR="00CE4C94" w:rsidRPr="00920DA9" w:rsidRDefault="00CE4C94" w:rsidP="00CE4C94">
            <w:pPr>
              <w:spacing w:after="0" w:line="240" w:lineRule="auto"/>
              <w:ind w:left="0" w:firstLine="0"/>
              <w:jc w:val="center"/>
              <w:rPr>
                <w:rFonts w:eastAsia="Times New Roman"/>
                <w:color w:val="244062"/>
                <w:sz w:val="18"/>
                <w:szCs w:val="18"/>
                <w:lang w:eastAsia="zh-TW"/>
              </w:rPr>
            </w:pPr>
          </w:p>
        </w:tc>
        <w:tc>
          <w:tcPr>
            <w:tcW w:w="551" w:type="dxa"/>
            <w:tcBorders>
              <w:top w:val="nil"/>
              <w:left w:val="nil"/>
              <w:bottom w:val="nil"/>
              <w:right w:val="nil"/>
            </w:tcBorders>
            <w:shd w:val="clear" w:color="auto" w:fill="auto"/>
            <w:noWrap/>
            <w:vAlign w:val="center"/>
            <w:hideMark/>
          </w:tcPr>
          <w:p w14:paraId="77A0093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518EC498"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48" w:type="dxa"/>
            <w:tcBorders>
              <w:top w:val="nil"/>
              <w:left w:val="nil"/>
              <w:bottom w:val="nil"/>
              <w:right w:val="nil"/>
            </w:tcBorders>
            <w:shd w:val="clear" w:color="auto" w:fill="auto"/>
            <w:noWrap/>
            <w:vAlign w:val="center"/>
            <w:hideMark/>
          </w:tcPr>
          <w:p w14:paraId="6D18E2D8"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118" w:type="dxa"/>
            <w:tcBorders>
              <w:top w:val="nil"/>
              <w:left w:val="nil"/>
              <w:bottom w:val="nil"/>
              <w:right w:val="nil"/>
            </w:tcBorders>
            <w:shd w:val="clear" w:color="auto" w:fill="auto"/>
            <w:noWrap/>
            <w:vAlign w:val="center"/>
            <w:hideMark/>
          </w:tcPr>
          <w:p w14:paraId="6EC35A53"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720" w:type="dxa"/>
            <w:tcBorders>
              <w:top w:val="nil"/>
              <w:left w:val="nil"/>
              <w:bottom w:val="single" w:sz="4" w:space="0" w:color="auto"/>
              <w:right w:val="nil"/>
            </w:tcBorders>
            <w:shd w:val="clear" w:color="000000" w:fill="FFFFFF"/>
            <w:noWrap/>
            <w:vAlign w:val="center"/>
            <w:hideMark/>
          </w:tcPr>
          <w:p w14:paraId="576D04AF"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2017</w:t>
            </w:r>
          </w:p>
        </w:tc>
        <w:tc>
          <w:tcPr>
            <w:tcW w:w="630" w:type="dxa"/>
            <w:tcBorders>
              <w:top w:val="nil"/>
              <w:left w:val="nil"/>
              <w:bottom w:val="single" w:sz="4" w:space="0" w:color="auto"/>
              <w:right w:val="nil"/>
            </w:tcBorders>
            <w:shd w:val="clear" w:color="000000" w:fill="FFFFFF"/>
            <w:noWrap/>
            <w:vAlign w:val="center"/>
            <w:hideMark/>
          </w:tcPr>
          <w:p w14:paraId="0C598206"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2018</w:t>
            </w:r>
          </w:p>
        </w:tc>
        <w:tc>
          <w:tcPr>
            <w:tcW w:w="630" w:type="dxa"/>
            <w:tcBorders>
              <w:top w:val="nil"/>
              <w:left w:val="nil"/>
              <w:bottom w:val="single" w:sz="4" w:space="0" w:color="auto"/>
              <w:right w:val="nil"/>
            </w:tcBorders>
            <w:shd w:val="clear" w:color="000000" w:fill="FFFFFF"/>
            <w:noWrap/>
            <w:vAlign w:val="center"/>
            <w:hideMark/>
          </w:tcPr>
          <w:p w14:paraId="60DDC87D"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2019e</w:t>
            </w:r>
          </w:p>
        </w:tc>
        <w:tc>
          <w:tcPr>
            <w:tcW w:w="630" w:type="dxa"/>
            <w:tcBorders>
              <w:top w:val="nil"/>
              <w:left w:val="nil"/>
              <w:bottom w:val="single" w:sz="4" w:space="0" w:color="auto"/>
              <w:right w:val="nil"/>
            </w:tcBorders>
            <w:shd w:val="clear" w:color="000000" w:fill="FFFFFF"/>
            <w:noWrap/>
            <w:vAlign w:val="center"/>
            <w:hideMark/>
          </w:tcPr>
          <w:p w14:paraId="376158F9"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2020p</w:t>
            </w:r>
          </w:p>
        </w:tc>
        <w:tc>
          <w:tcPr>
            <w:tcW w:w="630" w:type="dxa"/>
            <w:tcBorders>
              <w:top w:val="single" w:sz="4" w:space="0" w:color="auto"/>
              <w:left w:val="nil"/>
              <w:bottom w:val="single" w:sz="4" w:space="0" w:color="auto"/>
              <w:right w:val="nil"/>
            </w:tcBorders>
            <w:shd w:val="clear" w:color="000000" w:fill="FFFFFF"/>
            <w:noWrap/>
            <w:vAlign w:val="center"/>
            <w:hideMark/>
          </w:tcPr>
          <w:p w14:paraId="2C9F2213"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2021p</w:t>
            </w:r>
          </w:p>
        </w:tc>
        <w:tc>
          <w:tcPr>
            <w:tcW w:w="630" w:type="dxa"/>
            <w:tcBorders>
              <w:top w:val="single" w:sz="4" w:space="0" w:color="auto"/>
              <w:left w:val="nil"/>
              <w:bottom w:val="single" w:sz="4" w:space="0" w:color="auto"/>
              <w:right w:val="nil"/>
            </w:tcBorders>
            <w:shd w:val="clear" w:color="000000" w:fill="FFFFFF"/>
            <w:noWrap/>
            <w:vAlign w:val="center"/>
            <w:hideMark/>
          </w:tcPr>
          <w:p w14:paraId="6FEAEFAB"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2022p</w:t>
            </w:r>
          </w:p>
        </w:tc>
        <w:tc>
          <w:tcPr>
            <w:tcW w:w="270" w:type="dxa"/>
            <w:tcBorders>
              <w:top w:val="nil"/>
              <w:left w:val="nil"/>
              <w:bottom w:val="single" w:sz="4" w:space="0" w:color="auto"/>
              <w:right w:val="nil"/>
            </w:tcBorders>
            <w:shd w:val="clear" w:color="000000" w:fill="FFFFFF"/>
            <w:noWrap/>
            <w:vAlign w:val="center"/>
            <w:hideMark/>
          </w:tcPr>
          <w:p w14:paraId="22F958E0" w14:textId="77777777" w:rsidR="00CE4C94" w:rsidRPr="00920DA9" w:rsidRDefault="00CE4C94" w:rsidP="00CE4C94">
            <w:pPr>
              <w:spacing w:after="0" w:line="240" w:lineRule="auto"/>
              <w:ind w:left="0" w:firstLine="0"/>
              <w:rPr>
                <w:rFonts w:eastAsia="Times New Roman"/>
                <w:color w:val="244062"/>
                <w:sz w:val="18"/>
                <w:szCs w:val="18"/>
              </w:rPr>
            </w:pPr>
            <w:r w:rsidRPr="00920DA9">
              <w:rPr>
                <w:color w:val="244062"/>
                <w:sz w:val="18"/>
                <w:szCs w:val="18"/>
              </w:rPr>
              <w:t> </w:t>
            </w:r>
          </w:p>
        </w:tc>
        <w:tc>
          <w:tcPr>
            <w:tcW w:w="630" w:type="dxa"/>
            <w:tcBorders>
              <w:top w:val="nil"/>
              <w:left w:val="nil"/>
              <w:bottom w:val="single" w:sz="4" w:space="0" w:color="auto"/>
              <w:right w:val="nil"/>
            </w:tcBorders>
            <w:shd w:val="clear" w:color="000000" w:fill="FFFFFF"/>
            <w:noWrap/>
            <w:vAlign w:val="center"/>
            <w:hideMark/>
          </w:tcPr>
          <w:p w14:paraId="52D356A0"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2019e</w:t>
            </w:r>
          </w:p>
        </w:tc>
        <w:tc>
          <w:tcPr>
            <w:tcW w:w="630" w:type="dxa"/>
            <w:tcBorders>
              <w:top w:val="nil"/>
              <w:left w:val="nil"/>
              <w:bottom w:val="single" w:sz="4" w:space="0" w:color="auto"/>
              <w:right w:val="nil"/>
            </w:tcBorders>
            <w:shd w:val="clear" w:color="000000" w:fill="FFFFFF"/>
            <w:noWrap/>
            <w:vAlign w:val="center"/>
            <w:hideMark/>
          </w:tcPr>
          <w:p w14:paraId="10AF1C62"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2020p</w:t>
            </w:r>
          </w:p>
        </w:tc>
        <w:tc>
          <w:tcPr>
            <w:tcW w:w="630" w:type="dxa"/>
            <w:tcBorders>
              <w:top w:val="nil"/>
              <w:left w:val="nil"/>
              <w:bottom w:val="single" w:sz="4" w:space="0" w:color="auto"/>
              <w:right w:val="nil"/>
            </w:tcBorders>
            <w:shd w:val="clear" w:color="000000" w:fill="FFFFFF"/>
            <w:noWrap/>
            <w:vAlign w:val="center"/>
            <w:hideMark/>
          </w:tcPr>
          <w:p w14:paraId="28E0906E" w14:textId="77777777" w:rsidR="00CE4C94" w:rsidRPr="00920DA9" w:rsidRDefault="00CE4C94" w:rsidP="00CE4C94">
            <w:pPr>
              <w:spacing w:after="0" w:line="240" w:lineRule="auto"/>
              <w:ind w:left="0" w:firstLine="0"/>
              <w:jc w:val="center"/>
              <w:rPr>
                <w:rFonts w:eastAsia="Times New Roman"/>
                <w:b/>
                <w:bCs/>
                <w:color w:val="244062"/>
                <w:sz w:val="18"/>
                <w:szCs w:val="18"/>
              </w:rPr>
            </w:pPr>
            <w:r w:rsidRPr="00920DA9">
              <w:rPr>
                <w:b/>
                <w:bCs/>
                <w:color w:val="244062"/>
                <w:sz w:val="18"/>
                <w:szCs w:val="18"/>
              </w:rPr>
              <w:t>2021p</w:t>
            </w:r>
          </w:p>
        </w:tc>
      </w:tr>
      <w:tr w:rsidR="00C04ADD" w:rsidRPr="00920DA9" w14:paraId="077FE1A6" w14:textId="77777777" w:rsidTr="00C04ADD">
        <w:trPr>
          <w:trHeight w:val="342"/>
        </w:trPr>
        <w:tc>
          <w:tcPr>
            <w:tcW w:w="1584" w:type="dxa"/>
            <w:gridSpan w:val="3"/>
            <w:tcBorders>
              <w:top w:val="nil"/>
              <w:left w:val="nil"/>
              <w:bottom w:val="nil"/>
              <w:right w:val="nil"/>
            </w:tcBorders>
            <w:shd w:val="clear" w:color="auto" w:fill="auto"/>
            <w:noWrap/>
            <w:vAlign w:val="center"/>
            <w:hideMark/>
          </w:tcPr>
          <w:p w14:paraId="1CA6199D" w14:textId="77777777" w:rsidR="00CE4C94" w:rsidRPr="00920DA9" w:rsidRDefault="00CE4C94" w:rsidP="00CE4C94">
            <w:pPr>
              <w:spacing w:after="0" w:line="240" w:lineRule="auto"/>
              <w:ind w:left="0" w:firstLine="0"/>
              <w:rPr>
                <w:rFonts w:eastAsia="Times New Roman"/>
                <w:b/>
                <w:bCs/>
                <w:color w:val="262626"/>
                <w:sz w:val="18"/>
                <w:szCs w:val="18"/>
              </w:rPr>
            </w:pPr>
            <w:r w:rsidRPr="00920DA9">
              <w:rPr>
                <w:b/>
                <w:bCs/>
                <w:color w:val="262626"/>
                <w:sz w:val="18"/>
                <w:szCs w:val="18"/>
              </w:rPr>
              <w:t>Todo el mundo</w:t>
            </w:r>
          </w:p>
        </w:tc>
        <w:tc>
          <w:tcPr>
            <w:tcW w:w="348" w:type="dxa"/>
            <w:tcBorders>
              <w:top w:val="nil"/>
              <w:left w:val="nil"/>
              <w:bottom w:val="nil"/>
              <w:right w:val="nil"/>
            </w:tcBorders>
            <w:shd w:val="clear" w:color="auto" w:fill="auto"/>
            <w:noWrap/>
            <w:vAlign w:val="center"/>
            <w:hideMark/>
          </w:tcPr>
          <w:p w14:paraId="2B314AA4" w14:textId="77777777" w:rsidR="00CE4C94" w:rsidRPr="00920DA9" w:rsidRDefault="00CE4C94" w:rsidP="00CE4C94">
            <w:pPr>
              <w:spacing w:after="0" w:line="240" w:lineRule="auto"/>
              <w:ind w:left="0" w:firstLine="0"/>
              <w:rPr>
                <w:rFonts w:eastAsia="Times New Roman"/>
                <w:b/>
                <w:bCs/>
                <w:color w:val="262626"/>
                <w:sz w:val="18"/>
                <w:szCs w:val="18"/>
                <w:lang w:eastAsia="zh-TW"/>
              </w:rPr>
            </w:pPr>
          </w:p>
        </w:tc>
        <w:tc>
          <w:tcPr>
            <w:tcW w:w="2118" w:type="dxa"/>
            <w:tcBorders>
              <w:top w:val="nil"/>
              <w:left w:val="nil"/>
              <w:bottom w:val="nil"/>
              <w:right w:val="nil"/>
            </w:tcBorders>
            <w:shd w:val="clear" w:color="auto" w:fill="auto"/>
            <w:noWrap/>
            <w:vAlign w:val="center"/>
            <w:hideMark/>
          </w:tcPr>
          <w:p w14:paraId="1D094EA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720" w:type="dxa"/>
            <w:tcBorders>
              <w:top w:val="nil"/>
              <w:left w:val="nil"/>
              <w:bottom w:val="nil"/>
              <w:right w:val="nil"/>
            </w:tcBorders>
            <w:shd w:val="clear" w:color="000000" w:fill="FFFFFF"/>
            <w:noWrap/>
            <w:vAlign w:val="center"/>
            <w:hideMark/>
          </w:tcPr>
          <w:p w14:paraId="091BCED7"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3,2</w:t>
            </w:r>
          </w:p>
        </w:tc>
        <w:tc>
          <w:tcPr>
            <w:tcW w:w="630" w:type="dxa"/>
            <w:tcBorders>
              <w:top w:val="nil"/>
              <w:left w:val="nil"/>
              <w:bottom w:val="nil"/>
              <w:right w:val="nil"/>
            </w:tcBorders>
            <w:shd w:val="clear" w:color="000000" w:fill="FFFFFF"/>
            <w:noWrap/>
            <w:vAlign w:val="center"/>
            <w:hideMark/>
          </w:tcPr>
          <w:p w14:paraId="0ADAC3FC"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3,0</w:t>
            </w:r>
          </w:p>
        </w:tc>
        <w:tc>
          <w:tcPr>
            <w:tcW w:w="630" w:type="dxa"/>
            <w:tcBorders>
              <w:top w:val="nil"/>
              <w:left w:val="nil"/>
              <w:bottom w:val="nil"/>
              <w:right w:val="nil"/>
            </w:tcBorders>
            <w:shd w:val="clear" w:color="000000" w:fill="FFFFFF"/>
            <w:noWrap/>
            <w:vAlign w:val="center"/>
            <w:hideMark/>
          </w:tcPr>
          <w:p w14:paraId="059D3EAB"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2,4</w:t>
            </w:r>
          </w:p>
        </w:tc>
        <w:tc>
          <w:tcPr>
            <w:tcW w:w="630" w:type="dxa"/>
            <w:tcBorders>
              <w:top w:val="nil"/>
              <w:left w:val="nil"/>
              <w:bottom w:val="nil"/>
              <w:right w:val="nil"/>
            </w:tcBorders>
            <w:shd w:val="clear" w:color="000000" w:fill="FFFFFF"/>
            <w:noWrap/>
            <w:vAlign w:val="center"/>
            <w:hideMark/>
          </w:tcPr>
          <w:p w14:paraId="7C79C85C"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2,5</w:t>
            </w:r>
          </w:p>
        </w:tc>
        <w:tc>
          <w:tcPr>
            <w:tcW w:w="630" w:type="dxa"/>
            <w:tcBorders>
              <w:top w:val="nil"/>
              <w:left w:val="nil"/>
              <w:bottom w:val="nil"/>
              <w:right w:val="nil"/>
            </w:tcBorders>
            <w:shd w:val="clear" w:color="000000" w:fill="FFFFFF"/>
            <w:noWrap/>
            <w:vAlign w:val="center"/>
            <w:hideMark/>
          </w:tcPr>
          <w:p w14:paraId="670871FF"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2,6</w:t>
            </w:r>
          </w:p>
        </w:tc>
        <w:tc>
          <w:tcPr>
            <w:tcW w:w="630" w:type="dxa"/>
            <w:tcBorders>
              <w:top w:val="nil"/>
              <w:left w:val="nil"/>
              <w:bottom w:val="nil"/>
              <w:right w:val="nil"/>
            </w:tcBorders>
            <w:shd w:val="clear" w:color="000000" w:fill="FFFFFF"/>
            <w:noWrap/>
            <w:vAlign w:val="center"/>
            <w:hideMark/>
          </w:tcPr>
          <w:p w14:paraId="4A0A3826"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2,7</w:t>
            </w:r>
          </w:p>
        </w:tc>
        <w:tc>
          <w:tcPr>
            <w:tcW w:w="270" w:type="dxa"/>
            <w:tcBorders>
              <w:top w:val="nil"/>
              <w:left w:val="nil"/>
              <w:bottom w:val="nil"/>
              <w:right w:val="nil"/>
            </w:tcBorders>
            <w:shd w:val="clear" w:color="000000" w:fill="FFFFFF"/>
            <w:noWrap/>
            <w:vAlign w:val="center"/>
            <w:hideMark/>
          </w:tcPr>
          <w:p w14:paraId="0518F4F5"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297A04BE"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-0,2</w:t>
            </w:r>
          </w:p>
        </w:tc>
        <w:tc>
          <w:tcPr>
            <w:tcW w:w="630" w:type="dxa"/>
            <w:tcBorders>
              <w:top w:val="nil"/>
              <w:left w:val="nil"/>
              <w:bottom w:val="nil"/>
              <w:right w:val="nil"/>
            </w:tcBorders>
            <w:shd w:val="clear" w:color="000000" w:fill="FFFFFF"/>
            <w:noWrap/>
            <w:vAlign w:val="center"/>
            <w:hideMark/>
          </w:tcPr>
          <w:p w14:paraId="4914A72B"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-0,2</w:t>
            </w:r>
          </w:p>
        </w:tc>
        <w:tc>
          <w:tcPr>
            <w:tcW w:w="630" w:type="dxa"/>
            <w:tcBorders>
              <w:top w:val="nil"/>
              <w:left w:val="nil"/>
              <w:bottom w:val="nil"/>
              <w:right w:val="nil"/>
            </w:tcBorders>
            <w:shd w:val="clear" w:color="000000" w:fill="FFFFFF"/>
            <w:noWrap/>
            <w:vAlign w:val="center"/>
            <w:hideMark/>
          </w:tcPr>
          <w:p w14:paraId="385DF4AA"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-0,2</w:t>
            </w:r>
          </w:p>
        </w:tc>
      </w:tr>
      <w:tr w:rsidR="00C04ADD" w:rsidRPr="00920DA9" w14:paraId="5EDBC26A" w14:textId="77777777" w:rsidTr="00C04ADD">
        <w:trPr>
          <w:trHeight w:val="342"/>
        </w:trPr>
        <w:tc>
          <w:tcPr>
            <w:tcW w:w="419" w:type="dxa"/>
            <w:tcBorders>
              <w:top w:val="nil"/>
              <w:left w:val="nil"/>
              <w:bottom w:val="nil"/>
              <w:right w:val="nil"/>
            </w:tcBorders>
            <w:shd w:val="clear" w:color="auto" w:fill="auto"/>
            <w:noWrap/>
            <w:vAlign w:val="center"/>
            <w:hideMark/>
          </w:tcPr>
          <w:p w14:paraId="50004025" w14:textId="77777777" w:rsidR="00CE4C94" w:rsidRPr="00920DA9" w:rsidRDefault="00CE4C94" w:rsidP="00CE4C94">
            <w:pPr>
              <w:spacing w:after="0" w:line="240" w:lineRule="auto"/>
              <w:ind w:left="0" w:firstLine="0"/>
              <w:jc w:val="center"/>
              <w:rPr>
                <w:rFonts w:eastAsia="Times New Roman"/>
                <w:b/>
                <w:bCs/>
                <w:color w:val="262626"/>
                <w:sz w:val="18"/>
                <w:szCs w:val="18"/>
                <w:lang w:eastAsia="zh-TW"/>
              </w:rPr>
            </w:pPr>
          </w:p>
        </w:tc>
        <w:tc>
          <w:tcPr>
            <w:tcW w:w="3631" w:type="dxa"/>
            <w:gridSpan w:val="4"/>
            <w:tcBorders>
              <w:top w:val="nil"/>
              <w:left w:val="nil"/>
              <w:bottom w:val="nil"/>
              <w:right w:val="nil"/>
            </w:tcBorders>
            <w:shd w:val="clear" w:color="auto" w:fill="auto"/>
            <w:noWrap/>
            <w:vAlign w:val="center"/>
            <w:hideMark/>
          </w:tcPr>
          <w:p w14:paraId="34A9B70A" w14:textId="77777777" w:rsidR="00CE4C94" w:rsidRPr="00920DA9" w:rsidRDefault="00CE4C94" w:rsidP="00CE4C94">
            <w:pPr>
              <w:spacing w:after="0" w:line="240" w:lineRule="auto"/>
              <w:ind w:left="0" w:firstLine="0"/>
              <w:rPr>
                <w:rFonts w:eastAsia="Times New Roman"/>
                <w:b/>
                <w:bCs/>
                <w:color w:val="262626"/>
                <w:sz w:val="18"/>
                <w:szCs w:val="18"/>
              </w:rPr>
            </w:pPr>
            <w:r w:rsidRPr="00920DA9">
              <w:rPr>
                <w:b/>
                <w:bCs/>
                <w:color w:val="262626"/>
                <w:sz w:val="18"/>
                <w:szCs w:val="18"/>
              </w:rPr>
              <w:t>Economías avanzadas</w:t>
            </w:r>
          </w:p>
        </w:tc>
        <w:tc>
          <w:tcPr>
            <w:tcW w:w="720" w:type="dxa"/>
            <w:tcBorders>
              <w:top w:val="nil"/>
              <w:left w:val="nil"/>
              <w:bottom w:val="nil"/>
              <w:right w:val="nil"/>
            </w:tcBorders>
            <w:shd w:val="clear" w:color="000000" w:fill="FFFFFF"/>
            <w:noWrap/>
            <w:vAlign w:val="center"/>
            <w:hideMark/>
          </w:tcPr>
          <w:p w14:paraId="6DDFCE2D"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2,4</w:t>
            </w:r>
          </w:p>
        </w:tc>
        <w:tc>
          <w:tcPr>
            <w:tcW w:w="630" w:type="dxa"/>
            <w:tcBorders>
              <w:top w:val="nil"/>
              <w:left w:val="nil"/>
              <w:bottom w:val="nil"/>
              <w:right w:val="nil"/>
            </w:tcBorders>
            <w:shd w:val="clear" w:color="000000" w:fill="FFFFFF"/>
            <w:noWrap/>
            <w:vAlign w:val="center"/>
            <w:hideMark/>
          </w:tcPr>
          <w:p w14:paraId="3DF5827E"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2,2</w:t>
            </w:r>
          </w:p>
        </w:tc>
        <w:tc>
          <w:tcPr>
            <w:tcW w:w="630" w:type="dxa"/>
            <w:tcBorders>
              <w:top w:val="nil"/>
              <w:left w:val="nil"/>
              <w:bottom w:val="nil"/>
              <w:right w:val="nil"/>
            </w:tcBorders>
            <w:shd w:val="clear" w:color="000000" w:fill="FFFFFF"/>
            <w:noWrap/>
            <w:vAlign w:val="center"/>
            <w:hideMark/>
          </w:tcPr>
          <w:p w14:paraId="0E9BF637"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1,6</w:t>
            </w:r>
          </w:p>
        </w:tc>
        <w:tc>
          <w:tcPr>
            <w:tcW w:w="630" w:type="dxa"/>
            <w:tcBorders>
              <w:top w:val="nil"/>
              <w:left w:val="nil"/>
              <w:bottom w:val="nil"/>
              <w:right w:val="nil"/>
            </w:tcBorders>
            <w:shd w:val="clear" w:color="000000" w:fill="FFFFFF"/>
            <w:noWrap/>
            <w:vAlign w:val="center"/>
            <w:hideMark/>
          </w:tcPr>
          <w:p w14:paraId="104158AD"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1,4</w:t>
            </w:r>
          </w:p>
        </w:tc>
        <w:tc>
          <w:tcPr>
            <w:tcW w:w="630" w:type="dxa"/>
            <w:tcBorders>
              <w:top w:val="nil"/>
              <w:left w:val="nil"/>
              <w:bottom w:val="nil"/>
              <w:right w:val="nil"/>
            </w:tcBorders>
            <w:shd w:val="clear" w:color="000000" w:fill="FFFFFF"/>
            <w:noWrap/>
            <w:vAlign w:val="center"/>
            <w:hideMark/>
          </w:tcPr>
          <w:p w14:paraId="35F39D45"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1,5</w:t>
            </w:r>
          </w:p>
        </w:tc>
        <w:tc>
          <w:tcPr>
            <w:tcW w:w="630" w:type="dxa"/>
            <w:tcBorders>
              <w:top w:val="nil"/>
              <w:left w:val="nil"/>
              <w:bottom w:val="nil"/>
              <w:right w:val="nil"/>
            </w:tcBorders>
            <w:shd w:val="clear" w:color="000000" w:fill="FFFFFF"/>
            <w:noWrap/>
            <w:vAlign w:val="center"/>
            <w:hideMark/>
          </w:tcPr>
          <w:p w14:paraId="5DE5314A"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1,5</w:t>
            </w:r>
          </w:p>
        </w:tc>
        <w:tc>
          <w:tcPr>
            <w:tcW w:w="270" w:type="dxa"/>
            <w:tcBorders>
              <w:top w:val="nil"/>
              <w:left w:val="nil"/>
              <w:bottom w:val="nil"/>
              <w:right w:val="nil"/>
            </w:tcBorders>
            <w:shd w:val="clear" w:color="000000" w:fill="FFFFFF"/>
            <w:noWrap/>
            <w:vAlign w:val="center"/>
            <w:hideMark/>
          </w:tcPr>
          <w:p w14:paraId="3CA0B9D3"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7D05BA9A"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-0,1</w:t>
            </w:r>
          </w:p>
        </w:tc>
        <w:tc>
          <w:tcPr>
            <w:tcW w:w="630" w:type="dxa"/>
            <w:tcBorders>
              <w:top w:val="nil"/>
              <w:left w:val="nil"/>
              <w:bottom w:val="nil"/>
              <w:right w:val="nil"/>
            </w:tcBorders>
            <w:shd w:val="clear" w:color="000000" w:fill="FFFFFF"/>
            <w:noWrap/>
            <w:vAlign w:val="center"/>
            <w:hideMark/>
          </w:tcPr>
          <w:p w14:paraId="5FD495D0"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-0,1</w:t>
            </w:r>
          </w:p>
        </w:tc>
        <w:tc>
          <w:tcPr>
            <w:tcW w:w="630" w:type="dxa"/>
            <w:tcBorders>
              <w:top w:val="nil"/>
              <w:left w:val="nil"/>
              <w:bottom w:val="nil"/>
              <w:right w:val="nil"/>
            </w:tcBorders>
            <w:shd w:val="clear" w:color="000000" w:fill="FFFFFF"/>
            <w:noWrap/>
            <w:vAlign w:val="center"/>
            <w:hideMark/>
          </w:tcPr>
          <w:p w14:paraId="79842DBE"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0,0</w:t>
            </w:r>
          </w:p>
        </w:tc>
      </w:tr>
      <w:tr w:rsidR="00C04ADD" w:rsidRPr="00920DA9" w14:paraId="527E7D3C" w14:textId="77777777" w:rsidTr="00C04ADD">
        <w:trPr>
          <w:trHeight w:val="342"/>
        </w:trPr>
        <w:tc>
          <w:tcPr>
            <w:tcW w:w="419" w:type="dxa"/>
            <w:tcBorders>
              <w:top w:val="nil"/>
              <w:left w:val="nil"/>
              <w:bottom w:val="nil"/>
              <w:right w:val="nil"/>
            </w:tcBorders>
            <w:shd w:val="clear" w:color="auto" w:fill="auto"/>
            <w:noWrap/>
            <w:vAlign w:val="center"/>
            <w:hideMark/>
          </w:tcPr>
          <w:p w14:paraId="2FBE4808" w14:textId="77777777" w:rsidR="00CE4C94" w:rsidRPr="00920DA9" w:rsidRDefault="00CE4C94" w:rsidP="00CE4C94">
            <w:pPr>
              <w:spacing w:after="0" w:line="240" w:lineRule="auto"/>
              <w:ind w:left="0" w:firstLine="0"/>
              <w:jc w:val="center"/>
              <w:rPr>
                <w:rFonts w:eastAsia="Times New Roman"/>
                <w:b/>
                <w:bCs/>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31DE277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329D8BF3"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Estados Unidos</w:t>
            </w:r>
          </w:p>
        </w:tc>
        <w:tc>
          <w:tcPr>
            <w:tcW w:w="720" w:type="dxa"/>
            <w:tcBorders>
              <w:top w:val="nil"/>
              <w:left w:val="nil"/>
              <w:bottom w:val="nil"/>
              <w:right w:val="nil"/>
            </w:tcBorders>
            <w:shd w:val="clear" w:color="000000" w:fill="FFFFFF"/>
            <w:noWrap/>
            <w:vAlign w:val="center"/>
            <w:hideMark/>
          </w:tcPr>
          <w:p w14:paraId="610EC33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630" w:type="dxa"/>
            <w:tcBorders>
              <w:top w:val="nil"/>
              <w:left w:val="nil"/>
              <w:bottom w:val="nil"/>
              <w:right w:val="nil"/>
            </w:tcBorders>
            <w:shd w:val="clear" w:color="000000" w:fill="FFFFFF"/>
            <w:noWrap/>
            <w:vAlign w:val="center"/>
            <w:hideMark/>
          </w:tcPr>
          <w:p w14:paraId="0E63077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2,9</w:t>
            </w:r>
          </w:p>
        </w:tc>
        <w:tc>
          <w:tcPr>
            <w:tcW w:w="630" w:type="dxa"/>
            <w:tcBorders>
              <w:top w:val="nil"/>
              <w:left w:val="nil"/>
              <w:bottom w:val="nil"/>
              <w:right w:val="nil"/>
            </w:tcBorders>
            <w:shd w:val="clear" w:color="000000" w:fill="FFFFFF"/>
            <w:noWrap/>
            <w:vAlign w:val="center"/>
            <w:hideMark/>
          </w:tcPr>
          <w:p w14:paraId="08214F5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2,3</w:t>
            </w:r>
          </w:p>
        </w:tc>
        <w:tc>
          <w:tcPr>
            <w:tcW w:w="630" w:type="dxa"/>
            <w:tcBorders>
              <w:top w:val="nil"/>
              <w:left w:val="nil"/>
              <w:bottom w:val="nil"/>
              <w:right w:val="nil"/>
            </w:tcBorders>
            <w:shd w:val="clear" w:color="000000" w:fill="FFFFFF"/>
            <w:noWrap/>
            <w:vAlign w:val="center"/>
            <w:hideMark/>
          </w:tcPr>
          <w:p w14:paraId="00ECCB6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1,8</w:t>
            </w:r>
          </w:p>
        </w:tc>
        <w:tc>
          <w:tcPr>
            <w:tcW w:w="630" w:type="dxa"/>
            <w:tcBorders>
              <w:top w:val="nil"/>
              <w:left w:val="nil"/>
              <w:bottom w:val="nil"/>
              <w:right w:val="nil"/>
            </w:tcBorders>
            <w:shd w:val="clear" w:color="000000" w:fill="FFFFFF"/>
            <w:noWrap/>
            <w:vAlign w:val="center"/>
            <w:hideMark/>
          </w:tcPr>
          <w:p w14:paraId="1743839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630" w:type="dxa"/>
            <w:tcBorders>
              <w:top w:val="nil"/>
              <w:left w:val="nil"/>
              <w:bottom w:val="nil"/>
              <w:right w:val="nil"/>
            </w:tcBorders>
            <w:shd w:val="clear" w:color="000000" w:fill="FFFFFF"/>
            <w:noWrap/>
            <w:vAlign w:val="center"/>
            <w:hideMark/>
          </w:tcPr>
          <w:p w14:paraId="141AE2B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270" w:type="dxa"/>
            <w:tcBorders>
              <w:top w:val="nil"/>
              <w:left w:val="nil"/>
              <w:bottom w:val="nil"/>
              <w:right w:val="nil"/>
            </w:tcBorders>
            <w:shd w:val="clear" w:color="000000" w:fill="FFFFFF"/>
            <w:noWrap/>
            <w:vAlign w:val="center"/>
            <w:hideMark/>
          </w:tcPr>
          <w:p w14:paraId="667741D4"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082559F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c>
          <w:tcPr>
            <w:tcW w:w="630" w:type="dxa"/>
            <w:tcBorders>
              <w:top w:val="nil"/>
              <w:left w:val="nil"/>
              <w:bottom w:val="nil"/>
              <w:right w:val="nil"/>
            </w:tcBorders>
            <w:shd w:val="clear" w:color="000000" w:fill="FFFFFF"/>
            <w:noWrap/>
            <w:vAlign w:val="center"/>
            <w:hideMark/>
          </w:tcPr>
          <w:p w14:paraId="1BF82E5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1B16BDD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r>
      <w:tr w:rsidR="00C04ADD" w:rsidRPr="00920DA9" w14:paraId="4EAEDD5F" w14:textId="77777777" w:rsidTr="00C04ADD">
        <w:trPr>
          <w:trHeight w:val="342"/>
        </w:trPr>
        <w:tc>
          <w:tcPr>
            <w:tcW w:w="419" w:type="dxa"/>
            <w:tcBorders>
              <w:top w:val="nil"/>
              <w:left w:val="nil"/>
              <w:bottom w:val="nil"/>
              <w:right w:val="nil"/>
            </w:tcBorders>
            <w:shd w:val="clear" w:color="auto" w:fill="auto"/>
            <w:noWrap/>
            <w:vAlign w:val="center"/>
            <w:hideMark/>
          </w:tcPr>
          <w:p w14:paraId="5997383E"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19558D60"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021D501B"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Zona del euro</w:t>
            </w:r>
          </w:p>
        </w:tc>
        <w:tc>
          <w:tcPr>
            <w:tcW w:w="720" w:type="dxa"/>
            <w:tcBorders>
              <w:top w:val="nil"/>
              <w:left w:val="nil"/>
              <w:bottom w:val="nil"/>
              <w:right w:val="nil"/>
            </w:tcBorders>
            <w:shd w:val="clear" w:color="000000" w:fill="FFFFFF"/>
            <w:noWrap/>
            <w:vAlign w:val="center"/>
            <w:hideMark/>
          </w:tcPr>
          <w:p w14:paraId="3996C01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2,5</w:t>
            </w:r>
          </w:p>
        </w:tc>
        <w:tc>
          <w:tcPr>
            <w:tcW w:w="630" w:type="dxa"/>
            <w:tcBorders>
              <w:top w:val="nil"/>
              <w:left w:val="nil"/>
              <w:bottom w:val="nil"/>
              <w:right w:val="nil"/>
            </w:tcBorders>
            <w:shd w:val="clear" w:color="000000" w:fill="FFFFFF"/>
            <w:noWrap/>
            <w:vAlign w:val="center"/>
            <w:hideMark/>
          </w:tcPr>
          <w:p w14:paraId="67536F7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630" w:type="dxa"/>
            <w:tcBorders>
              <w:top w:val="nil"/>
              <w:left w:val="nil"/>
              <w:bottom w:val="nil"/>
              <w:right w:val="nil"/>
            </w:tcBorders>
            <w:shd w:val="clear" w:color="000000" w:fill="FFFFFF"/>
            <w:noWrap/>
            <w:vAlign w:val="center"/>
            <w:hideMark/>
          </w:tcPr>
          <w:p w14:paraId="06E7516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1,1</w:t>
            </w:r>
          </w:p>
        </w:tc>
        <w:tc>
          <w:tcPr>
            <w:tcW w:w="630" w:type="dxa"/>
            <w:tcBorders>
              <w:top w:val="nil"/>
              <w:left w:val="nil"/>
              <w:bottom w:val="nil"/>
              <w:right w:val="nil"/>
            </w:tcBorders>
            <w:shd w:val="clear" w:color="000000" w:fill="FFFFFF"/>
            <w:noWrap/>
            <w:vAlign w:val="center"/>
            <w:hideMark/>
          </w:tcPr>
          <w:p w14:paraId="732A2F2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1,0</w:t>
            </w:r>
          </w:p>
        </w:tc>
        <w:tc>
          <w:tcPr>
            <w:tcW w:w="630" w:type="dxa"/>
            <w:tcBorders>
              <w:top w:val="nil"/>
              <w:left w:val="nil"/>
              <w:bottom w:val="nil"/>
              <w:right w:val="nil"/>
            </w:tcBorders>
            <w:shd w:val="clear" w:color="000000" w:fill="FFFFFF"/>
            <w:noWrap/>
            <w:vAlign w:val="center"/>
            <w:hideMark/>
          </w:tcPr>
          <w:p w14:paraId="34601CD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1,3</w:t>
            </w:r>
          </w:p>
        </w:tc>
        <w:tc>
          <w:tcPr>
            <w:tcW w:w="630" w:type="dxa"/>
            <w:tcBorders>
              <w:top w:val="nil"/>
              <w:left w:val="nil"/>
              <w:bottom w:val="nil"/>
              <w:right w:val="nil"/>
            </w:tcBorders>
            <w:shd w:val="clear" w:color="000000" w:fill="FFFFFF"/>
            <w:noWrap/>
            <w:vAlign w:val="center"/>
            <w:hideMark/>
          </w:tcPr>
          <w:p w14:paraId="663E97E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1,3</w:t>
            </w:r>
          </w:p>
        </w:tc>
        <w:tc>
          <w:tcPr>
            <w:tcW w:w="270" w:type="dxa"/>
            <w:tcBorders>
              <w:top w:val="nil"/>
              <w:left w:val="nil"/>
              <w:bottom w:val="nil"/>
              <w:right w:val="nil"/>
            </w:tcBorders>
            <w:shd w:val="clear" w:color="000000" w:fill="FFFFFF"/>
            <w:noWrap/>
            <w:vAlign w:val="center"/>
            <w:hideMark/>
          </w:tcPr>
          <w:p w14:paraId="0A565D2D"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2E413C2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17AE400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12D9F59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403B048B" w14:textId="77777777" w:rsidTr="00C04ADD">
        <w:trPr>
          <w:trHeight w:val="330"/>
        </w:trPr>
        <w:tc>
          <w:tcPr>
            <w:tcW w:w="419" w:type="dxa"/>
            <w:tcBorders>
              <w:top w:val="nil"/>
              <w:left w:val="nil"/>
              <w:bottom w:val="nil"/>
              <w:right w:val="nil"/>
            </w:tcBorders>
            <w:shd w:val="clear" w:color="auto" w:fill="auto"/>
            <w:noWrap/>
            <w:vAlign w:val="center"/>
            <w:hideMark/>
          </w:tcPr>
          <w:p w14:paraId="256F5E9A"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3C8D12A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0B11B9A3"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Japón</w:t>
            </w:r>
          </w:p>
        </w:tc>
        <w:tc>
          <w:tcPr>
            <w:tcW w:w="720" w:type="dxa"/>
            <w:tcBorders>
              <w:top w:val="nil"/>
              <w:left w:val="nil"/>
              <w:bottom w:val="nil"/>
              <w:right w:val="nil"/>
            </w:tcBorders>
            <w:shd w:val="clear" w:color="000000" w:fill="FFFFFF"/>
            <w:noWrap/>
            <w:vAlign w:val="center"/>
            <w:hideMark/>
          </w:tcPr>
          <w:p w14:paraId="420B465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630" w:type="dxa"/>
            <w:tcBorders>
              <w:top w:val="nil"/>
              <w:left w:val="nil"/>
              <w:bottom w:val="nil"/>
              <w:right w:val="nil"/>
            </w:tcBorders>
            <w:shd w:val="clear" w:color="000000" w:fill="FFFFFF"/>
            <w:noWrap/>
            <w:vAlign w:val="center"/>
            <w:hideMark/>
          </w:tcPr>
          <w:p w14:paraId="4595F37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24AAB64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1,1</w:t>
            </w:r>
          </w:p>
        </w:tc>
        <w:tc>
          <w:tcPr>
            <w:tcW w:w="630" w:type="dxa"/>
            <w:tcBorders>
              <w:top w:val="nil"/>
              <w:left w:val="nil"/>
              <w:bottom w:val="nil"/>
              <w:right w:val="nil"/>
            </w:tcBorders>
            <w:shd w:val="clear" w:color="000000" w:fill="FFFFFF"/>
            <w:noWrap/>
            <w:vAlign w:val="center"/>
            <w:hideMark/>
          </w:tcPr>
          <w:p w14:paraId="441EF67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0,7</w:t>
            </w:r>
          </w:p>
        </w:tc>
        <w:tc>
          <w:tcPr>
            <w:tcW w:w="630" w:type="dxa"/>
            <w:tcBorders>
              <w:top w:val="nil"/>
              <w:left w:val="nil"/>
              <w:bottom w:val="nil"/>
              <w:right w:val="nil"/>
            </w:tcBorders>
            <w:shd w:val="clear" w:color="000000" w:fill="FFFFFF"/>
            <w:noWrap/>
            <w:vAlign w:val="center"/>
            <w:hideMark/>
          </w:tcPr>
          <w:p w14:paraId="72E3048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0,6</w:t>
            </w:r>
          </w:p>
        </w:tc>
        <w:tc>
          <w:tcPr>
            <w:tcW w:w="630" w:type="dxa"/>
            <w:tcBorders>
              <w:top w:val="nil"/>
              <w:left w:val="nil"/>
              <w:bottom w:val="nil"/>
              <w:right w:val="nil"/>
            </w:tcBorders>
            <w:shd w:val="clear" w:color="000000" w:fill="FFFFFF"/>
            <w:noWrap/>
            <w:vAlign w:val="center"/>
            <w:hideMark/>
          </w:tcPr>
          <w:p w14:paraId="0A32B20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270" w:type="dxa"/>
            <w:tcBorders>
              <w:top w:val="nil"/>
              <w:left w:val="nil"/>
              <w:bottom w:val="nil"/>
              <w:right w:val="nil"/>
            </w:tcBorders>
            <w:shd w:val="clear" w:color="000000" w:fill="FFFFFF"/>
            <w:noWrap/>
            <w:vAlign w:val="center"/>
            <w:hideMark/>
          </w:tcPr>
          <w:p w14:paraId="55E556F1"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A453A8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c>
          <w:tcPr>
            <w:tcW w:w="630" w:type="dxa"/>
            <w:tcBorders>
              <w:top w:val="nil"/>
              <w:left w:val="nil"/>
              <w:bottom w:val="nil"/>
              <w:right w:val="nil"/>
            </w:tcBorders>
            <w:shd w:val="clear" w:color="000000" w:fill="FFFFFF"/>
            <w:noWrap/>
            <w:vAlign w:val="center"/>
            <w:hideMark/>
          </w:tcPr>
          <w:p w14:paraId="2CE4661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c>
          <w:tcPr>
            <w:tcW w:w="630" w:type="dxa"/>
            <w:tcBorders>
              <w:top w:val="nil"/>
              <w:left w:val="nil"/>
              <w:bottom w:val="nil"/>
              <w:right w:val="nil"/>
            </w:tcBorders>
            <w:shd w:val="clear" w:color="000000" w:fill="FFFFFF"/>
            <w:noWrap/>
            <w:vAlign w:val="center"/>
            <w:hideMark/>
          </w:tcPr>
          <w:p w14:paraId="512CD6D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37FAC256" w14:textId="77777777" w:rsidTr="00C04ADD">
        <w:trPr>
          <w:trHeight w:val="342"/>
        </w:trPr>
        <w:tc>
          <w:tcPr>
            <w:tcW w:w="419" w:type="dxa"/>
            <w:tcBorders>
              <w:top w:val="nil"/>
              <w:left w:val="nil"/>
              <w:bottom w:val="nil"/>
              <w:right w:val="nil"/>
            </w:tcBorders>
            <w:shd w:val="clear" w:color="auto" w:fill="auto"/>
            <w:noWrap/>
            <w:vAlign w:val="center"/>
            <w:hideMark/>
          </w:tcPr>
          <w:p w14:paraId="332A2DCD"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3631" w:type="dxa"/>
            <w:gridSpan w:val="4"/>
            <w:tcBorders>
              <w:top w:val="nil"/>
              <w:left w:val="nil"/>
              <w:bottom w:val="nil"/>
              <w:right w:val="nil"/>
            </w:tcBorders>
            <w:shd w:val="clear" w:color="auto" w:fill="auto"/>
            <w:noWrap/>
            <w:vAlign w:val="center"/>
            <w:hideMark/>
          </w:tcPr>
          <w:p w14:paraId="742BDB20" w14:textId="77777777" w:rsidR="00CE4C94" w:rsidRPr="00920DA9" w:rsidRDefault="00CE4C94" w:rsidP="00CE4C94">
            <w:pPr>
              <w:spacing w:after="0" w:line="240" w:lineRule="auto"/>
              <w:ind w:left="0" w:firstLine="0"/>
              <w:rPr>
                <w:rFonts w:eastAsia="Times New Roman"/>
                <w:b/>
                <w:bCs/>
                <w:color w:val="262626"/>
                <w:sz w:val="18"/>
                <w:szCs w:val="18"/>
              </w:rPr>
            </w:pPr>
            <w:r w:rsidRPr="00920DA9">
              <w:rPr>
                <w:b/>
                <w:bCs/>
                <w:color w:val="262626"/>
                <w:sz w:val="18"/>
                <w:szCs w:val="18"/>
              </w:rPr>
              <w:t>Mercados emergentes y economías en desarrollo (MEED)</w:t>
            </w:r>
          </w:p>
        </w:tc>
        <w:tc>
          <w:tcPr>
            <w:tcW w:w="720" w:type="dxa"/>
            <w:tcBorders>
              <w:top w:val="nil"/>
              <w:left w:val="nil"/>
              <w:bottom w:val="nil"/>
              <w:right w:val="nil"/>
            </w:tcBorders>
            <w:shd w:val="clear" w:color="000000" w:fill="FFFFFF"/>
            <w:noWrap/>
            <w:vAlign w:val="center"/>
            <w:hideMark/>
          </w:tcPr>
          <w:p w14:paraId="518249AB"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4,5</w:t>
            </w:r>
          </w:p>
        </w:tc>
        <w:tc>
          <w:tcPr>
            <w:tcW w:w="630" w:type="dxa"/>
            <w:tcBorders>
              <w:top w:val="nil"/>
              <w:left w:val="nil"/>
              <w:bottom w:val="nil"/>
              <w:right w:val="nil"/>
            </w:tcBorders>
            <w:shd w:val="clear" w:color="000000" w:fill="FFFFFF"/>
            <w:noWrap/>
            <w:vAlign w:val="center"/>
            <w:hideMark/>
          </w:tcPr>
          <w:p w14:paraId="0E510675"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4,3</w:t>
            </w:r>
          </w:p>
        </w:tc>
        <w:tc>
          <w:tcPr>
            <w:tcW w:w="630" w:type="dxa"/>
            <w:tcBorders>
              <w:top w:val="nil"/>
              <w:left w:val="nil"/>
              <w:bottom w:val="nil"/>
              <w:right w:val="nil"/>
            </w:tcBorders>
            <w:shd w:val="clear" w:color="000000" w:fill="FFFFFF"/>
            <w:noWrap/>
            <w:vAlign w:val="center"/>
            <w:hideMark/>
          </w:tcPr>
          <w:p w14:paraId="5571681B"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3,5</w:t>
            </w:r>
          </w:p>
        </w:tc>
        <w:tc>
          <w:tcPr>
            <w:tcW w:w="630" w:type="dxa"/>
            <w:tcBorders>
              <w:top w:val="nil"/>
              <w:left w:val="nil"/>
              <w:bottom w:val="nil"/>
              <w:right w:val="nil"/>
            </w:tcBorders>
            <w:shd w:val="clear" w:color="000000" w:fill="FFFFFF"/>
            <w:noWrap/>
            <w:vAlign w:val="center"/>
            <w:hideMark/>
          </w:tcPr>
          <w:p w14:paraId="7AB3B716"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4,1</w:t>
            </w:r>
          </w:p>
        </w:tc>
        <w:tc>
          <w:tcPr>
            <w:tcW w:w="630" w:type="dxa"/>
            <w:tcBorders>
              <w:top w:val="nil"/>
              <w:left w:val="nil"/>
              <w:bottom w:val="nil"/>
              <w:right w:val="nil"/>
            </w:tcBorders>
            <w:shd w:val="clear" w:color="000000" w:fill="FFFFFF"/>
            <w:noWrap/>
            <w:vAlign w:val="center"/>
            <w:hideMark/>
          </w:tcPr>
          <w:p w14:paraId="5B83BAAE"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4,3</w:t>
            </w:r>
          </w:p>
        </w:tc>
        <w:tc>
          <w:tcPr>
            <w:tcW w:w="630" w:type="dxa"/>
            <w:tcBorders>
              <w:top w:val="nil"/>
              <w:left w:val="nil"/>
              <w:bottom w:val="nil"/>
              <w:right w:val="nil"/>
            </w:tcBorders>
            <w:shd w:val="clear" w:color="000000" w:fill="FFFFFF"/>
            <w:noWrap/>
            <w:vAlign w:val="center"/>
            <w:hideMark/>
          </w:tcPr>
          <w:p w14:paraId="679D906E"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4,4</w:t>
            </w:r>
          </w:p>
        </w:tc>
        <w:tc>
          <w:tcPr>
            <w:tcW w:w="270" w:type="dxa"/>
            <w:tcBorders>
              <w:top w:val="nil"/>
              <w:left w:val="nil"/>
              <w:bottom w:val="nil"/>
              <w:right w:val="nil"/>
            </w:tcBorders>
            <w:shd w:val="clear" w:color="000000" w:fill="FFFFFF"/>
            <w:noWrap/>
            <w:vAlign w:val="center"/>
            <w:hideMark/>
          </w:tcPr>
          <w:p w14:paraId="22BAC965"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72CCDDB6"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-0,5</w:t>
            </w:r>
          </w:p>
        </w:tc>
        <w:tc>
          <w:tcPr>
            <w:tcW w:w="630" w:type="dxa"/>
            <w:tcBorders>
              <w:top w:val="nil"/>
              <w:left w:val="nil"/>
              <w:bottom w:val="nil"/>
              <w:right w:val="nil"/>
            </w:tcBorders>
            <w:shd w:val="clear" w:color="000000" w:fill="FFFFFF"/>
            <w:noWrap/>
            <w:vAlign w:val="center"/>
            <w:hideMark/>
          </w:tcPr>
          <w:p w14:paraId="38628DE6"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-0,5</w:t>
            </w:r>
          </w:p>
        </w:tc>
        <w:tc>
          <w:tcPr>
            <w:tcW w:w="630" w:type="dxa"/>
            <w:tcBorders>
              <w:top w:val="nil"/>
              <w:left w:val="nil"/>
              <w:bottom w:val="nil"/>
              <w:right w:val="nil"/>
            </w:tcBorders>
            <w:shd w:val="clear" w:color="000000" w:fill="FFFFFF"/>
            <w:noWrap/>
            <w:vAlign w:val="center"/>
            <w:hideMark/>
          </w:tcPr>
          <w:p w14:paraId="37EA70EB" w14:textId="77777777" w:rsidR="00CE4C94" w:rsidRPr="00920DA9" w:rsidRDefault="00CE4C94" w:rsidP="00CE4C94">
            <w:pPr>
              <w:spacing w:after="0" w:line="240" w:lineRule="auto"/>
              <w:ind w:left="0" w:firstLine="0"/>
              <w:jc w:val="center"/>
              <w:rPr>
                <w:rFonts w:eastAsia="Times New Roman"/>
                <w:b/>
                <w:bCs/>
                <w:color w:val="262626"/>
                <w:sz w:val="18"/>
                <w:szCs w:val="18"/>
              </w:rPr>
            </w:pPr>
            <w:r w:rsidRPr="00920DA9">
              <w:rPr>
                <w:b/>
                <w:bCs/>
                <w:color w:val="262626"/>
                <w:sz w:val="18"/>
                <w:szCs w:val="18"/>
              </w:rPr>
              <w:t>-0,3</w:t>
            </w:r>
          </w:p>
        </w:tc>
      </w:tr>
      <w:tr w:rsidR="00C04ADD" w:rsidRPr="00920DA9" w14:paraId="1A50A465" w14:textId="77777777" w:rsidTr="00C04ADD">
        <w:trPr>
          <w:trHeight w:val="330"/>
        </w:trPr>
        <w:tc>
          <w:tcPr>
            <w:tcW w:w="419" w:type="dxa"/>
            <w:tcBorders>
              <w:top w:val="nil"/>
              <w:left w:val="nil"/>
              <w:bottom w:val="nil"/>
              <w:right w:val="nil"/>
            </w:tcBorders>
            <w:shd w:val="clear" w:color="auto" w:fill="auto"/>
            <w:noWrap/>
            <w:vAlign w:val="center"/>
            <w:hideMark/>
          </w:tcPr>
          <w:p w14:paraId="29FE245A" w14:textId="77777777" w:rsidR="00CE4C94" w:rsidRPr="00920DA9" w:rsidRDefault="00CE4C94" w:rsidP="00CE4C94">
            <w:pPr>
              <w:spacing w:after="0" w:line="240" w:lineRule="auto"/>
              <w:ind w:left="0" w:firstLine="0"/>
              <w:jc w:val="center"/>
              <w:rPr>
                <w:rFonts w:eastAsia="Times New Roman"/>
                <w:b/>
                <w:bCs/>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15C552A3"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4DFFE4B2"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6CF56451"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MEED exportadores de productos básicos</w:t>
            </w:r>
          </w:p>
        </w:tc>
        <w:tc>
          <w:tcPr>
            <w:tcW w:w="720" w:type="dxa"/>
            <w:tcBorders>
              <w:top w:val="nil"/>
              <w:left w:val="nil"/>
              <w:bottom w:val="nil"/>
              <w:right w:val="nil"/>
            </w:tcBorders>
            <w:shd w:val="clear" w:color="000000" w:fill="FFFFFF"/>
            <w:noWrap/>
            <w:vAlign w:val="center"/>
            <w:hideMark/>
          </w:tcPr>
          <w:p w14:paraId="1D16679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2,2</w:t>
            </w:r>
          </w:p>
        </w:tc>
        <w:tc>
          <w:tcPr>
            <w:tcW w:w="630" w:type="dxa"/>
            <w:tcBorders>
              <w:top w:val="nil"/>
              <w:left w:val="nil"/>
              <w:bottom w:val="nil"/>
              <w:right w:val="nil"/>
            </w:tcBorders>
            <w:shd w:val="clear" w:color="000000" w:fill="FFFFFF"/>
            <w:noWrap/>
            <w:vAlign w:val="center"/>
            <w:hideMark/>
          </w:tcPr>
          <w:p w14:paraId="7F9108E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2,0</w:t>
            </w:r>
          </w:p>
        </w:tc>
        <w:tc>
          <w:tcPr>
            <w:tcW w:w="630" w:type="dxa"/>
            <w:tcBorders>
              <w:top w:val="nil"/>
              <w:left w:val="nil"/>
              <w:bottom w:val="nil"/>
              <w:right w:val="nil"/>
            </w:tcBorders>
            <w:shd w:val="clear" w:color="000000" w:fill="FFFFFF"/>
            <w:noWrap/>
            <w:vAlign w:val="center"/>
            <w:hideMark/>
          </w:tcPr>
          <w:p w14:paraId="7A0FB28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1,5</w:t>
            </w:r>
          </w:p>
        </w:tc>
        <w:tc>
          <w:tcPr>
            <w:tcW w:w="630" w:type="dxa"/>
            <w:tcBorders>
              <w:top w:val="nil"/>
              <w:left w:val="nil"/>
              <w:bottom w:val="nil"/>
              <w:right w:val="nil"/>
            </w:tcBorders>
            <w:shd w:val="clear" w:color="000000" w:fill="FFFFFF"/>
            <w:noWrap/>
            <w:vAlign w:val="center"/>
            <w:hideMark/>
          </w:tcPr>
          <w:p w14:paraId="4741B83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2,6</w:t>
            </w:r>
          </w:p>
        </w:tc>
        <w:tc>
          <w:tcPr>
            <w:tcW w:w="630" w:type="dxa"/>
            <w:tcBorders>
              <w:top w:val="nil"/>
              <w:left w:val="nil"/>
              <w:bottom w:val="nil"/>
              <w:right w:val="nil"/>
            </w:tcBorders>
            <w:shd w:val="clear" w:color="000000" w:fill="FFFFFF"/>
            <w:noWrap/>
            <w:vAlign w:val="center"/>
            <w:hideMark/>
          </w:tcPr>
          <w:p w14:paraId="3F46077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2,9</w:t>
            </w:r>
          </w:p>
        </w:tc>
        <w:tc>
          <w:tcPr>
            <w:tcW w:w="630" w:type="dxa"/>
            <w:tcBorders>
              <w:top w:val="nil"/>
              <w:left w:val="nil"/>
              <w:bottom w:val="nil"/>
              <w:right w:val="nil"/>
            </w:tcBorders>
            <w:shd w:val="clear" w:color="000000" w:fill="FFFFFF"/>
            <w:noWrap/>
            <w:vAlign w:val="center"/>
            <w:hideMark/>
          </w:tcPr>
          <w:p w14:paraId="7C98BA5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3,0</w:t>
            </w:r>
          </w:p>
        </w:tc>
        <w:tc>
          <w:tcPr>
            <w:tcW w:w="270" w:type="dxa"/>
            <w:tcBorders>
              <w:top w:val="nil"/>
              <w:left w:val="nil"/>
              <w:bottom w:val="nil"/>
              <w:right w:val="nil"/>
            </w:tcBorders>
            <w:shd w:val="clear" w:color="000000" w:fill="FFFFFF"/>
            <w:noWrap/>
            <w:vAlign w:val="center"/>
            <w:hideMark/>
          </w:tcPr>
          <w:p w14:paraId="0A3092B7"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04792F8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-0,6</w:t>
            </w:r>
          </w:p>
        </w:tc>
        <w:tc>
          <w:tcPr>
            <w:tcW w:w="630" w:type="dxa"/>
            <w:tcBorders>
              <w:top w:val="nil"/>
              <w:left w:val="nil"/>
              <w:bottom w:val="nil"/>
              <w:right w:val="nil"/>
            </w:tcBorders>
            <w:shd w:val="clear" w:color="000000" w:fill="FFFFFF"/>
            <w:noWrap/>
            <w:vAlign w:val="center"/>
            <w:hideMark/>
          </w:tcPr>
          <w:p w14:paraId="3820241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-0,5</w:t>
            </w:r>
          </w:p>
        </w:tc>
        <w:tc>
          <w:tcPr>
            <w:tcW w:w="630" w:type="dxa"/>
            <w:tcBorders>
              <w:top w:val="nil"/>
              <w:left w:val="nil"/>
              <w:bottom w:val="nil"/>
              <w:right w:val="nil"/>
            </w:tcBorders>
            <w:shd w:val="clear" w:color="000000" w:fill="FFFFFF"/>
            <w:noWrap/>
            <w:vAlign w:val="center"/>
            <w:hideMark/>
          </w:tcPr>
          <w:p w14:paraId="4415FB2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r>
      <w:tr w:rsidR="00C04ADD" w:rsidRPr="00920DA9" w14:paraId="5E040DA9" w14:textId="77777777" w:rsidTr="00C04ADD">
        <w:trPr>
          <w:trHeight w:val="342"/>
        </w:trPr>
        <w:tc>
          <w:tcPr>
            <w:tcW w:w="419" w:type="dxa"/>
            <w:tcBorders>
              <w:top w:val="nil"/>
              <w:left w:val="nil"/>
              <w:bottom w:val="nil"/>
              <w:right w:val="nil"/>
            </w:tcBorders>
            <w:shd w:val="clear" w:color="auto" w:fill="auto"/>
            <w:noWrap/>
            <w:vAlign w:val="center"/>
            <w:hideMark/>
          </w:tcPr>
          <w:p w14:paraId="22BF6406"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236D0FE6"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2A07BC9A"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05DB35D1"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Otros MEED</w:t>
            </w:r>
          </w:p>
        </w:tc>
        <w:tc>
          <w:tcPr>
            <w:tcW w:w="720" w:type="dxa"/>
            <w:tcBorders>
              <w:top w:val="nil"/>
              <w:left w:val="nil"/>
              <w:bottom w:val="nil"/>
              <w:right w:val="nil"/>
            </w:tcBorders>
            <w:shd w:val="clear" w:color="000000" w:fill="FFFFFF"/>
            <w:noWrap/>
            <w:vAlign w:val="center"/>
            <w:hideMark/>
          </w:tcPr>
          <w:p w14:paraId="45AC4C8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6,2</w:t>
            </w:r>
          </w:p>
        </w:tc>
        <w:tc>
          <w:tcPr>
            <w:tcW w:w="630" w:type="dxa"/>
            <w:tcBorders>
              <w:top w:val="nil"/>
              <w:left w:val="nil"/>
              <w:bottom w:val="nil"/>
              <w:right w:val="nil"/>
            </w:tcBorders>
            <w:shd w:val="clear" w:color="000000" w:fill="FFFFFF"/>
            <w:noWrap/>
            <w:vAlign w:val="center"/>
            <w:hideMark/>
          </w:tcPr>
          <w:p w14:paraId="7E01647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5,8</w:t>
            </w:r>
          </w:p>
        </w:tc>
        <w:tc>
          <w:tcPr>
            <w:tcW w:w="630" w:type="dxa"/>
            <w:tcBorders>
              <w:top w:val="nil"/>
              <w:left w:val="nil"/>
              <w:bottom w:val="nil"/>
              <w:right w:val="nil"/>
            </w:tcBorders>
            <w:shd w:val="clear" w:color="000000" w:fill="FFFFFF"/>
            <w:noWrap/>
            <w:vAlign w:val="center"/>
            <w:hideMark/>
          </w:tcPr>
          <w:p w14:paraId="1678C9C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4,8</w:t>
            </w:r>
          </w:p>
        </w:tc>
        <w:tc>
          <w:tcPr>
            <w:tcW w:w="630" w:type="dxa"/>
            <w:tcBorders>
              <w:top w:val="nil"/>
              <w:left w:val="nil"/>
              <w:bottom w:val="nil"/>
              <w:right w:val="nil"/>
            </w:tcBorders>
            <w:shd w:val="clear" w:color="000000" w:fill="FFFFFF"/>
            <w:noWrap/>
            <w:vAlign w:val="center"/>
            <w:hideMark/>
          </w:tcPr>
          <w:p w14:paraId="32E1C45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5,1</w:t>
            </w:r>
          </w:p>
        </w:tc>
        <w:tc>
          <w:tcPr>
            <w:tcW w:w="630" w:type="dxa"/>
            <w:tcBorders>
              <w:top w:val="nil"/>
              <w:left w:val="nil"/>
              <w:bottom w:val="nil"/>
              <w:right w:val="nil"/>
            </w:tcBorders>
            <w:shd w:val="clear" w:color="000000" w:fill="FFFFFF"/>
            <w:noWrap/>
            <w:vAlign w:val="center"/>
            <w:hideMark/>
          </w:tcPr>
          <w:p w14:paraId="1A3515E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5,2</w:t>
            </w:r>
          </w:p>
        </w:tc>
        <w:tc>
          <w:tcPr>
            <w:tcW w:w="630" w:type="dxa"/>
            <w:tcBorders>
              <w:top w:val="nil"/>
              <w:left w:val="nil"/>
              <w:bottom w:val="nil"/>
              <w:right w:val="nil"/>
            </w:tcBorders>
            <w:shd w:val="clear" w:color="000000" w:fill="FFFFFF"/>
            <w:noWrap/>
            <w:vAlign w:val="center"/>
            <w:hideMark/>
          </w:tcPr>
          <w:p w14:paraId="01969E9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5,2</w:t>
            </w:r>
          </w:p>
        </w:tc>
        <w:tc>
          <w:tcPr>
            <w:tcW w:w="270" w:type="dxa"/>
            <w:tcBorders>
              <w:top w:val="nil"/>
              <w:left w:val="nil"/>
              <w:bottom w:val="nil"/>
              <w:right w:val="nil"/>
            </w:tcBorders>
            <w:shd w:val="clear" w:color="000000" w:fill="FFFFFF"/>
            <w:noWrap/>
            <w:vAlign w:val="center"/>
            <w:hideMark/>
          </w:tcPr>
          <w:p w14:paraId="0A4E752D"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7EF1F7E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23C0DD0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38EC584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r>
      <w:tr w:rsidR="00C04ADD" w:rsidRPr="00920DA9" w14:paraId="4710ED51" w14:textId="77777777" w:rsidTr="00C04ADD">
        <w:trPr>
          <w:trHeight w:val="342"/>
        </w:trPr>
        <w:tc>
          <w:tcPr>
            <w:tcW w:w="419" w:type="dxa"/>
            <w:tcBorders>
              <w:top w:val="nil"/>
              <w:left w:val="nil"/>
              <w:bottom w:val="nil"/>
              <w:right w:val="nil"/>
            </w:tcBorders>
            <w:shd w:val="clear" w:color="auto" w:fill="auto"/>
            <w:noWrap/>
            <w:vAlign w:val="center"/>
            <w:hideMark/>
          </w:tcPr>
          <w:p w14:paraId="5C8CF31F"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2657C73A"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1082C32E"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48" w:type="dxa"/>
            <w:tcBorders>
              <w:top w:val="nil"/>
              <w:left w:val="nil"/>
              <w:bottom w:val="nil"/>
              <w:right w:val="nil"/>
            </w:tcBorders>
            <w:shd w:val="clear" w:color="auto" w:fill="auto"/>
            <w:noWrap/>
            <w:vAlign w:val="center"/>
            <w:hideMark/>
          </w:tcPr>
          <w:p w14:paraId="03867DA7"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118" w:type="dxa"/>
            <w:tcBorders>
              <w:top w:val="nil"/>
              <w:left w:val="nil"/>
              <w:bottom w:val="nil"/>
              <w:right w:val="nil"/>
            </w:tcBorders>
            <w:shd w:val="clear" w:color="auto" w:fill="auto"/>
            <w:noWrap/>
            <w:vAlign w:val="center"/>
            <w:hideMark/>
          </w:tcPr>
          <w:p w14:paraId="598F1D26"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Otros MEED excepto China</w:t>
            </w:r>
          </w:p>
        </w:tc>
        <w:tc>
          <w:tcPr>
            <w:tcW w:w="720" w:type="dxa"/>
            <w:tcBorders>
              <w:top w:val="nil"/>
              <w:left w:val="nil"/>
              <w:bottom w:val="nil"/>
              <w:right w:val="nil"/>
            </w:tcBorders>
            <w:shd w:val="clear" w:color="000000" w:fill="FFFFFF"/>
            <w:noWrap/>
            <w:vAlign w:val="center"/>
            <w:hideMark/>
          </w:tcPr>
          <w:p w14:paraId="625E1E7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5,4</w:t>
            </w:r>
          </w:p>
        </w:tc>
        <w:tc>
          <w:tcPr>
            <w:tcW w:w="630" w:type="dxa"/>
            <w:tcBorders>
              <w:top w:val="nil"/>
              <w:left w:val="nil"/>
              <w:bottom w:val="nil"/>
              <w:right w:val="nil"/>
            </w:tcBorders>
            <w:shd w:val="clear" w:color="000000" w:fill="FFFFFF"/>
            <w:noWrap/>
            <w:vAlign w:val="center"/>
            <w:hideMark/>
          </w:tcPr>
          <w:p w14:paraId="4FC35EA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5,0</w:t>
            </w:r>
          </w:p>
        </w:tc>
        <w:tc>
          <w:tcPr>
            <w:tcW w:w="630" w:type="dxa"/>
            <w:tcBorders>
              <w:top w:val="nil"/>
              <w:left w:val="nil"/>
              <w:bottom w:val="nil"/>
              <w:right w:val="nil"/>
            </w:tcBorders>
            <w:shd w:val="clear" w:color="000000" w:fill="FFFFFF"/>
            <w:noWrap/>
            <w:vAlign w:val="center"/>
            <w:hideMark/>
          </w:tcPr>
          <w:p w14:paraId="1513C31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3,3</w:t>
            </w:r>
          </w:p>
        </w:tc>
        <w:tc>
          <w:tcPr>
            <w:tcW w:w="630" w:type="dxa"/>
            <w:tcBorders>
              <w:top w:val="nil"/>
              <w:left w:val="nil"/>
              <w:bottom w:val="nil"/>
              <w:right w:val="nil"/>
            </w:tcBorders>
            <w:shd w:val="clear" w:color="000000" w:fill="FFFFFF"/>
            <w:noWrap/>
            <w:vAlign w:val="center"/>
            <w:hideMark/>
          </w:tcPr>
          <w:p w14:paraId="3230956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4,0</w:t>
            </w:r>
          </w:p>
        </w:tc>
        <w:tc>
          <w:tcPr>
            <w:tcW w:w="630" w:type="dxa"/>
            <w:tcBorders>
              <w:top w:val="nil"/>
              <w:left w:val="nil"/>
              <w:bottom w:val="nil"/>
              <w:right w:val="nil"/>
            </w:tcBorders>
            <w:shd w:val="clear" w:color="000000" w:fill="FFFFFF"/>
            <w:noWrap/>
            <w:vAlign w:val="center"/>
            <w:hideMark/>
          </w:tcPr>
          <w:p w14:paraId="0CDFC1B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4,4</w:t>
            </w:r>
          </w:p>
        </w:tc>
        <w:tc>
          <w:tcPr>
            <w:tcW w:w="630" w:type="dxa"/>
            <w:tcBorders>
              <w:top w:val="nil"/>
              <w:left w:val="nil"/>
              <w:bottom w:val="nil"/>
              <w:right w:val="nil"/>
            </w:tcBorders>
            <w:shd w:val="clear" w:color="000000" w:fill="FFFFFF"/>
            <w:noWrap/>
            <w:vAlign w:val="center"/>
            <w:hideMark/>
          </w:tcPr>
          <w:p w14:paraId="7F187A8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4,5</w:t>
            </w:r>
          </w:p>
        </w:tc>
        <w:tc>
          <w:tcPr>
            <w:tcW w:w="270" w:type="dxa"/>
            <w:tcBorders>
              <w:top w:val="nil"/>
              <w:left w:val="nil"/>
              <w:bottom w:val="nil"/>
              <w:right w:val="nil"/>
            </w:tcBorders>
            <w:shd w:val="clear" w:color="000000" w:fill="FFFFFF"/>
            <w:noWrap/>
            <w:vAlign w:val="center"/>
            <w:hideMark/>
          </w:tcPr>
          <w:p w14:paraId="69207097"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1C8C46D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-0,9</w:t>
            </w:r>
          </w:p>
        </w:tc>
        <w:tc>
          <w:tcPr>
            <w:tcW w:w="630" w:type="dxa"/>
            <w:tcBorders>
              <w:top w:val="nil"/>
              <w:left w:val="nil"/>
              <w:bottom w:val="nil"/>
              <w:right w:val="nil"/>
            </w:tcBorders>
            <w:shd w:val="clear" w:color="000000" w:fill="FFFFFF"/>
            <w:noWrap/>
            <w:vAlign w:val="center"/>
            <w:hideMark/>
          </w:tcPr>
          <w:p w14:paraId="4C878FB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07A1038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-0,6</w:t>
            </w:r>
          </w:p>
        </w:tc>
      </w:tr>
      <w:tr w:rsidR="00C04ADD" w:rsidRPr="00920DA9" w14:paraId="34435C90" w14:textId="77777777" w:rsidTr="00C04ADD">
        <w:trPr>
          <w:trHeight w:val="342"/>
        </w:trPr>
        <w:tc>
          <w:tcPr>
            <w:tcW w:w="419" w:type="dxa"/>
            <w:tcBorders>
              <w:top w:val="nil"/>
              <w:left w:val="nil"/>
              <w:bottom w:val="nil"/>
              <w:right w:val="nil"/>
            </w:tcBorders>
            <w:shd w:val="clear" w:color="auto" w:fill="auto"/>
            <w:noWrap/>
            <w:vAlign w:val="center"/>
            <w:hideMark/>
          </w:tcPr>
          <w:p w14:paraId="6F6D1AC2"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47A8789E"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25280DDB"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Asia oriental y el Pacifico</w:t>
            </w:r>
          </w:p>
        </w:tc>
        <w:tc>
          <w:tcPr>
            <w:tcW w:w="720" w:type="dxa"/>
            <w:tcBorders>
              <w:top w:val="nil"/>
              <w:left w:val="nil"/>
              <w:bottom w:val="nil"/>
              <w:right w:val="nil"/>
            </w:tcBorders>
            <w:shd w:val="clear" w:color="000000" w:fill="FFFFFF"/>
            <w:noWrap/>
            <w:vAlign w:val="center"/>
            <w:hideMark/>
          </w:tcPr>
          <w:p w14:paraId="0CA856D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6,5</w:t>
            </w:r>
          </w:p>
        </w:tc>
        <w:tc>
          <w:tcPr>
            <w:tcW w:w="630" w:type="dxa"/>
            <w:tcBorders>
              <w:top w:val="nil"/>
              <w:left w:val="nil"/>
              <w:bottom w:val="nil"/>
              <w:right w:val="nil"/>
            </w:tcBorders>
            <w:shd w:val="clear" w:color="000000" w:fill="FFFFFF"/>
            <w:noWrap/>
            <w:vAlign w:val="center"/>
            <w:hideMark/>
          </w:tcPr>
          <w:p w14:paraId="3118262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6,3</w:t>
            </w:r>
          </w:p>
        </w:tc>
        <w:tc>
          <w:tcPr>
            <w:tcW w:w="630" w:type="dxa"/>
            <w:tcBorders>
              <w:top w:val="nil"/>
              <w:left w:val="nil"/>
              <w:bottom w:val="nil"/>
              <w:right w:val="nil"/>
            </w:tcBorders>
            <w:shd w:val="clear" w:color="000000" w:fill="FFFFFF"/>
            <w:noWrap/>
            <w:vAlign w:val="center"/>
            <w:hideMark/>
          </w:tcPr>
          <w:p w14:paraId="067BD0C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5,8</w:t>
            </w:r>
          </w:p>
        </w:tc>
        <w:tc>
          <w:tcPr>
            <w:tcW w:w="630" w:type="dxa"/>
            <w:tcBorders>
              <w:top w:val="nil"/>
              <w:left w:val="nil"/>
              <w:bottom w:val="nil"/>
              <w:right w:val="nil"/>
            </w:tcBorders>
            <w:shd w:val="clear" w:color="000000" w:fill="FFFFFF"/>
            <w:noWrap/>
            <w:vAlign w:val="center"/>
            <w:hideMark/>
          </w:tcPr>
          <w:p w14:paraId="57042CE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5,7</w:t>
            </w:r>
          </w:p>
        </w:tc>
        <w:tc>
          <w:tcPr>
            <w:tcW w:w="630" w:type="dxa"/>
            <w:tcBorders>
              <w:top w:val="nil"/>
              <w:left w:val="nil"/>
              <w:bottom w:val="nil"/>
              <w:right w:val="nil"/>
            </w:tcBorders>
            <w:shd w:val="clear" w:color="000000" w:fill="FFFFFF"/>
            <w:noWrap/>
            <w:vAlign w:val="center"/>
            <w:hideMark/>
          </w:tcPr>
          <w:p w14:paraId="563B0A2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5,6</w:t>
            </w:r>
          </w:p>
        </w:tc>
        <w:tc>
          <w:tcPr>
            <w:tcW w:w="630" w:type="dxa"/>
            <w:tcBorders>
              <w:top w:val="nil"/>
              <w:left w:val="nil"/>
              <w:bottom w:val="nil"/>
              <w:right w:val="nil"/>
            </w:tcBorders>
            <w:shd w:val="clear" w:color="000000" w:fill="FFFFFF"/>
            <w:noWrap/>
            <w:vAlign w:val="center"/>
            <w:hideMark/>
          </w:tcPr>
          <w:p w14:paraId="3202815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5,6</w:t>
            </w:r>
          </w:p>
        </w:tc>
        <w:tc>
          <w:tcPr>
            <w:tcW w:w="270" w:type="dxa"/>
            <w:tcBorders>
              <w:top w:val="nil"/>
              <w:left w:val="nil"/>
              <w:bottom w:val="nil"/>
              <w:right w:val="nil"/>
            </w:tcBorders>
            <w:shd w:val="clear" w:color="000000" w:fill="FFFFFF"/>
            <w:noWrap/>
            <w:vAlign w:val="center"/>
            <w:hideMark/>
          </w:tcPr>
          <w:p w14:paraId="2529DA40"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1A6A0B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006F7F2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c>
          <w:tcPr>
            <w:tcW w:w="630" w:type="dxa"/>
            <w:tcBorders>
              <w:top w:val="nil"/>
              <w:left w:val="nil"/>
              <w:bottom w:val="nil"/>
              <w:right w:val="nil"/>
            </w:tcBorders>
            <w:shd w:val="clear" w:color="000000" w:fill="FFFFFF"/>
            <w:noWrap/>
            <w:vAlign w:val="center"/>
            <w:hideMark/>
          </w:tcPr>
          <w:p w14:paraId="506E586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r>
      <w:tr w:rsidR="00C04ADD" w:rsidRPr="00920DA9" w14:paraId="24A59E18" w14:textId="77777777" w:rsidTr="00C04ADD">
        <w:trPr>
          <w:trHeight w:val="342"/>
        </w:trPr>
        <w:tc>
          <w:tcPr>
            <w:tcW w:w="419" w:type="dxa"/>
            <w:tcBorders>
              <w:top w:val="nil"/>
              <w:left w:val="nil"/>
              <w:bottom w:val="nil"/>
              <w:right w:val="nil"/>
            </w:tcBorders>
            <w:shd w:val="clear" w:color="auto" w:fill="auto"/>
            <w:noWrap/>
            <w:vAlign w:val="center"/>
            <w:hideMark/>
          </w:tcPr>
          <w:p w14:paraId="1742D522"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79F74480"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1E0BE9D3"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4A15F8ED"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China</w:t>
            </w:r>
          </w:p>
        </w:tc>
        <w:tc>
          <w:tcPr>
            <w:tcW w:w="720" w:type="dxa"/>
            <w:tcBorders>
              <w:top w:val="nil"/>
              <w:left w:val="nil"/>
              <w:bottom w:val="nil"/>
              <w:right w:val="nil"/>
            </w:tcBorders>
            <w:shd w:val="clear" w:color="000000" w:fill="FFFFFF"/>
            <w:noWrap/>
            <w:vAlign w:val="center"/>
            <w:hideMark/>
          </w:tcPr>
          <w:p w14:paraId="47FB7B8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6,8</w:t>
            </w:r>
          </w:p>
        </w:tc>
        <w:tc>
          <w:tcPr>
            <w:tcW w:w="630" w:type="dxa"/>
            <w:tcBorders>
              <w:top w:val="nil"/>
              <w:left w:val="nil"/>
              <w:bottom w:val="nil"/>
              <w:right w:val="nil"/>
            </w:tcBorders>
            <w:shd w:val="clear" w:color="000000" w:fill="FFFFFF"/>
            <w:noWrap/>
            <w:vAlign w:val="center"/>
            <w:hideMark/>
          </w:tcPr>
          <w:p w14:paraId="15BFE02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6,6</w:t>
            </w:r>
          </w:p>
        </w:tc>
        <w:tc>
          <w:tcPr>
            <w:tcW w:w="630" w:type="dxa"/>
            <w:tcBorders>
              <w:top w:val="nil"/>
              <w:left w:val="nil"/>
              <w:bottom w:val="nil"/>
              <w:right w:val="nil"/>
            </w:tcBorders>
            <w:shd w:val="clear" w:color="000000" w:fill="FFFFFF"/>
            <w:noWrap/>
            <w:vAlign w:val="center"/>
            <w:hideMark/>
          </w:tcPr>
          <w:p w14:paraId="7D075C1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6,1</w:t>
            </w:r>
          </w:p>
        </w:tc>
        <w:tc>
          <w:tcPr>
            <w:tcW w:w="630" w:type="dxa"/>
            <w:tcBorders>
              <w:top w:val="nil"/>
              <w:left w:val="nil"/>
              <w:bottom w:val="nil"/>
              <w:right w:val="nil"/>
            </w:tcBorders>
            <w:shd w:val="clear" w:color="000000" w:fill="FFFFFF"/>
            <w:noWrap/>
            <w:vAlign w:val="center"/>
            <w:hideMark/>
          </w:tcPr>
          <w:p w14:paraId="1E65887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5,9</w:t>
            </w:r>
          </w:p>
        </w:tc>
        <w:tc>
          <w:tcPr>
            <w:tcW w:w="630" w:type="dxa"/>
            <w:tcBorders>
              <w:top w:val="nil"/>
              <w:left w:val="nil"/>
              <w:bottom w:val="nil"/>
              <w:right w:val="nil"/>
            </w:tcBorders>
            <w:shd w:val="clear" w:color="000000" w:fill="FFFFFF"/>
            <w:noWrap/>
            <w:vAlign w:val="center"/>
            <w:hideMark/>
          </w:tcPr>
          <w:p w14:paraId="3832406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5,8</w:t>
            </w:r>
          </w:p>
        </w:tc>
        <w:tc>
          <w:tcPr>
            <w:tcW w:w="630" w:type="dxa"/>
            <w:tcBorders>
              <w:top w:val="nil"/>
              <w:left w:val="nil"/>
              <w:bottom w:val="nil"/>
              <w:right w:val="nil"/>
            </w:tcBorders>
            <w:shd w:val="clear" w:color="000000" w:fill="FFFFFF"/>
            <w:noWrap/>
            <w:vAlign w:val="center"/>
            <w:hideMark/>
          </w:tcPr>
          <w:p w14:paraId="7ADCDE0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5,7</w:t>
            </w:r>
          </w:p>
        </w:tc>
        <w:tc>
          <w:tcPr>
            <w:tcW w:w="270" w:type="dxa"/>
            <w:tcBorders>
              <w:top w:val="nil"/>
              <w:left w:val="nil"/>
              <w:bottom w:val="nil"/>
              <w:right w:val="nil"/>
            </w:tcBorders>
            <w:shd w:val="clear" w:color="000000" w:fill="FFFFFF"/>
            <w:noWrap/>
            <w:vAlign w:val="center"/>
            <w:hideMark/>
          </w:tcPr>
          <w:p w14:paraId="063F4229"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43D9E39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18FD7A7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c>
          <w:tcPr>
            <w:tcW w:w="630" w:type="dxa"/>
            <w:tcBorders>
              <w:top w:val="nil"/>
              <w:left w:val="nil"/>
              <w:bottom w:val="nil"/>
              <w:right w:val="nil"/>
            </w:tcBorders>
            <w:shd w:val="clear" w:color="000000" w:fill="FFFFFF"/>
            <w:noWrap/>
            <w:vAlign w:val="center"/>
            <w:hideMark/>
          </w:tcPr>
          <w:p w14:paraId="4F4EFF5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r>
      <w:tr w:rsidR="00C04ADD" w:rsidRPr="00920DA9" w14:paraId="59EC783A" w14:textId="77777777" w:rsidTr="00C04ADD">
        <w:trPr>
          <w:trHeight w:val="342"/>
        </w:trPr>
        <w:tc>
          <w:tcPr>
            <w:tcW w:w="419" w:type="dxa"/>
            <w:tcBorders>
              <w:top w:val="nil"/>
              <w:left w:val="nil"/>
              <w:bottom w:val="nil"/>
              <w:right w:val="nil"/>
            </w:tcBorders>
            <w:shd w:val="clear" w:color="auto" w:fill="auto"/>
            <w:noWrap/>
            <w:vAlign w:val="center"/>
            <w:hideMark/>
          </w:tcPr>
          <w:p w14:paraId="00AEC621"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4BF3976F"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5B05670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794F27F9"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Indonesia</w:t>
            </w:r>
          </w:p>
        </w:tc>
        <w:tc>
          <w:tcPr>
            <w:tcW w:w="720" w:type="dxa"/>
            <w:tcBorders>
              <w:top w:val="nil"/>
              <w:left w:val="nil"/>
              <w:bottom w:val="nil"/>
              <w:right w:val="nil"/>
            </w:tcBorders>
            <w:shd w:val="clear" w:color="000000" w:fill="FFFFFF"/>
            <w:noWrap/>
            <w:vAlign w:val="center"/>
            <w:hideMark/>
          </w:tcPr>
          <w:p w14:paraId="6CBD7BE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5,1</w:t>
            </w:r>
          </w:p>
        </w:tc>
        <w:tc>
          <w:tcPr>
            <w:tcW w:w="630" w:type="dxa"/>
            <w:tcBorders>
              <w:top w:val="nil"/>
              <w:left w:val="nil"/>
              <w:bottom w:val="nil"/>
              <w:right w:val="nil"/>
            </w:tcBorders>
            <w:shd w:val="clear" w:color="000000" w:fill="FFFFFF"/>
            <w:noWrap/>
            <w:vAlign w:val="center"/>
            <w:hideMark/>
          </w:tcPr>
          <w:p w14:paraId="3C4673D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5,2</w:t>
            </w:r>
          </w:p>
        </w:tc>
        <w:tc>
          <w:tcPr>
            <w:tcW w:w="630" w:type="dxa"/>
            <w:tcBorders>
              <w:top w:val="nil"/>
              <w:left w:val="nil"/>
              <w:bottom w:val="nil"/>
              <w:right w:val="nil"/>
            </w:tcBorders>
            <w:shd w:val="clear" w:color="000000" w:fill="FFFFFF"/>
            <w:noWrap/>
            <w:vAlign w:val="center"/>
            <w:hideMark/>
          </w:tcPr>
          <w:p w14:paraId="75D6670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5,0</w:t>
            </w:r>
          </w:p>
        </w:tc>
        <w:tc>
          <w:tcPr>
            <w:tcW w:w="630" w:type="dxa"/>
            <w:tcBorders>
              <w:top w:val="nil"/>
              <w:left w:val="nil"/>
              <w:bottom w:val="nil"/>
              <w:right w:val="nil"/>
            </w:tcBorders>
            <w:shd w:val="clear" w:color="000000" w:fill="FFFFFF"/>
            <w:noWrap/>
            <w:vAlign w:val="center"/>
            <w:hideMark/>
          </w:tcPr>
          <w:p w14:paraId="3D3C522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5,1</w:t>
            </w:r>
          </w:p>
        </w:tc>
        <w:tc>
          <w:tcPr>
            <w:tcW w:w="630" w:type="dxa"/>
            <w:tcBorders>
              <w:top w:val="nil"/>
              <w:left w:val="nil"/>
              <w:bottom w:val="nil"/>
              <w:right w:val="nil"/>
            </w:tcBorders>
            <w:shd w:val="clear" w:color="000000" w:fill="FFFFFF"/>
            <w:noWrap/>
            <w:vAlign w:val="center"/>
            <w:hideMark/>
          </w:tcPr>
          <w:p w14:paraId="4E28D33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5,2</w:t>
            </w:r>
          </w:p>
        </w:tc>
        <w:tc>
          <w:tcPr>
            <w:tcW w:w="630" w:type="dxa"/>
            <w:tcBorders>
              <w:top w:val="nil"/>
              <w:left w:val="nil"/>
              <w:bottom w:val="nil"/>
              <w:right w:val="nil"/>
            </w:tcBorders>
            <w:shd w:val="clear" w:color="000000" w:fill="FFFFFF"/>
            <w:noWrap/>
            <w:vAlign w:val="center"/>
            <w:hideMark/>
          </w:tcPr>
          <w:p w14:paraId="0F3C13D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5,2</w:t>
            </w:r>
          </w:p>
        </w:tc>
        <w:tc>
          <w:tcPr>
            <w:tcW w:w="270" w:type="dxa"/>
            <w:tcBorders>
              <w:top w:val="nil"/>
              <w:left w:val="nil"/>
              <w:bottom w:val="nil"/>
              <w:right w:val="nil"/>
            </w:tcBorders>
            <w:shd w:val="clear" w:color="000000" w:fill="FFFFFF"/>
            <w:noWrap/>
            <w:vAlign w:val="center"/>
            <w:hideMark/>
          </w:tcPr>
          <w:p w14:paraId="0ED2DD2E"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4A7BE3A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c>
          <w:tcPr>
            <w:tcW w:w="630" w:type="dxa"/>
            <w:tcBorders>
              <w:top w:val="nil"/>
              <w:left w:val="nil"/>
              <w:bottom w:val="nil"/>
              <w:right w:val="nil"/>
            </w:tcBorders>
            <w:shd w:val="clear" w:color="000000" w:fill="FFFFFF"/>
            <w:noWrap/>
            <w:vAlign w:val="center"/>
            <w:hideMark/>
          </w:tcPr>
          <w:p w14:paraId="0DD99BD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c>
          <w:tcPr>
            <w:tcW w:w="630" w:type="dxa"/>
            <w:tcBorders>
              <w:top w:val="nil"/>
              <w:left w:val="nil"/>
              <w:bottom w:val="nil"/>
              <w:right w:val="nil"/>
            </w:tcBorders>
            <w:shd w:val="clear" w:color="000000" w:fill="FFFFFF"/>
            <w:noWrap/>
            <w:vAlign w:val="center"/>
            <w:hideMark/>
          </w:tcPr>
          <w:p w14:paraId="703C71F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r>
      <w:tr w:rsidR="00C04ADD" w:rsidRPr="00920DA9" w14:paraId="3CAB7EDD" w14:textId="77777777" w:rsidTr="00C04ADD">
        <w:trPr>
          <w:trHeight w:val="342"/>
        </w:trPr>
        <w:tc>
          <w:tcPr>
            <w:tcW w:w="419" w:type="dxa"/>
            <w:tcBorders>
              <w:top w:val="nil"/>
              <w:left w:val="nil"/>
              <w:bottom w:val="nil"/>
              <w:right w:val="nil"/>
            </w:tcBorders>
            <w:shd w:val="clear" w:color="auto" w:fill="auto"/>
            <w:noWrap/>
            <w:vAlign w:val="center"/>
            <w:hideMark/>
          </w:tcPr>
          <w:p w14:paraId="5FCD3A23"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5F3C2E3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22C634E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28E91103"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Tailandia</w:t>
            </w:r>
          </w:p>
        </w:tc>
        <w:tc>
          <w:tcPr>
            <w:tcW w:w="720" w:type="dxa"/>
            <w:tcBorders>
              <w:top w:val="nil"/>
              <w:left w:val="nil"/>
              <w:bottom w:val="nil"/>
              <w:right w:val="nil"/>
            </w:tcBorders>
            <w:shd w:val="clear" w:color="000000" w:fill="FFFFFF"/>
            <w:noWrap/>
            <w:vAlign w:val="center"/>
            <w:hideMark/>
          </w:tcPr>
          <w:p w14:paraId="103E5A5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4,0</w:t>
            </w:r>
          </w:p>
        </w:tc>
        <w:tc>
          <w:tcPr>
            <w:tcW w:w="630" w:type="dxa"/>
            <w:tcBorders>
              <w:top w:val="nil"/>
              <w:left w:val="nil"/>
              <w:bottom w:val="nil"/>
              <w:right w:val="nil"/>
            </w:tcBorders>
            <w:shd w:val="clear" w:color="000000" w:fill="FFFFFF"/>
            <w:noWrap/>
            <w:vAlign w:val="center"/>
            <w:hideMark/>
          </w:tcPr>
          <w:p w14:paraId="431B67B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4,1</w:t>
            </w:r>
          </w:p>
        </w:tc>
        <w:tc>
          <w:tcPr>
            <w:tcW w:w="630" w:type="dxa"/>
            <w:tcBorders>
              <w:top w:val="nil"/>
              <w:left w:val="nil"/>
              <w:bottom w:val="nil"/>
              <w:right w:val="nil"/>
            </w:tcBorders>
            <w:shd w:val="clear" w:color="000000" w:fill="FFFFFF"/>
            <w:noWrap/>
            <w:vAlign w:val="center"/>
            <w:hideMark/>
          </w:tcPr>
          <w:p w14:paraId="0D6670E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2,5</w:t>
            </w:r>
          </w:p>
        </w:tc>
        <w:tc>
          <w:tcPr>
            <w:tcW w:w="630" w:type="dxa"/>
            <w:tcBorders>
              <w:top w:val="nil"/>
              <w:left w:val="nil"/>
              <w:bottom w:val="nil"/>
              <w:right w:val="nil"/>
            </w:tcBorders>
            <w:shd w:val="clear" w:color="000000" w:fill="FFFFFF"/>
            <w:noWrap/>
            <w:vAlign w:val="center"/>
            <w:hideMark/>
          </w:tcPr>
          <w:p w14:paraId="2E0557A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2,7</w:t>
            </w:r>
          </w:p>
        </w:tc>
        <w:tc>
          <w:tcPr>
            <w:tcW w:w="630" w:type="dxa"/>
            <w:tcBorders>
              <w:top w:val="nil"/>
              <w:left w:val="nil"/>
              <w:bottom w:val="nil"/>
              <w:right w:val="nil"/>
            </w:tcBorders>
            <w:shd w:val="clear" w:color="000000" w:fill="FFFFFF"/>
            <w:noWrap/>
            <w:vAlign w:val="center"/>
            <w:hideMark/>
          </w:tcPr>
          <w:p w14:paraId="1E01964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2,8</w:t>
            </w:r>
          </w:p>
        </w:tc>
        <w:tc>
          <w:tcPr>
            <w:tcW w:w="630" w:type="dxa"/>
            <w:tcBorders>
              <w:top w:val="nil"/>
              <w:left w:val="nil"/>
              <w:bottom w:val="nil"/>
              <w:right w:val="nil"/>
            </w:tcBorders>
            <w:shd w:val="clear" w:color="000000" w:fill="FFFFFF"/>
            <w:noWrap/>
            <w:vAlign w:val="center"/>
            <w:hideMark/>
          </w:tcPr>
          <w:p w14:paraId="3DEF53D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2,9</w:t>
            </w:r>
          </w:p>
        </w:tc>
        <w:tc>
          <w:tcPr>
            <w:tcW w:w="270" w:type="dxa"/>
            <w:tcBorders>
              <w:top w:val="nil"/>
              <w:left w:val="nil"/>
              <w:bottom w:val="nil"/>
              <w:right w:val="nil"/>
            </w:tcBorders>
            <w:shd w:val="clear" w:color="000000" w:fill="FFFFFF"/>
            <w:noWrap/>
            <w:vAlign w:val="center"/>
            <w:hideMark/>
          </w:tcPr>
          <w:p w14:paraId="216F8F4F"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4FD9926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-1,0</w:t>
            </w:r>
          </w:p>
        </w:tc>
        <w:tc>
          <w:tcPr>
            <w:tcW w:w="630" w:type="dxa"/>
            <w:tcBorders>
              <w:top w:val="nil"/>
              <w:left w:val="nil"/>
              <w:bottom w:val="nil"/>
              <w:right w:val="nil"/>
            </w:tcBorders>
            <w:shd w:val="clear" w:color="000000" w:fill="FFFFFF"/>
            <w:noWrap/>
            <w:vAlign w:val="center"/>
            <w:hideMark/>
          </w:tcPr>
          <w:p w14:paraId="68D1746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-0,9</w:t>
            </w:r>
          </w:p>
        </w:tc>
        <w:tc>
          <w:tcPr>
            <w:tcW w:w="630" w:type="dxa"/>
            <w:tcBorders>
              <w:top w:val="nil"/>
              <w:left w:val="nil"/>
              <w:bottom w:val="nil"/>
              <w:right w:val="nil"/>
            </w:tcBorders>
            <w:shd w:val="clear" w:color="000000" w:fill="FFFFFF"/>
            <w:noWrap/>
            <w:vAlign w:val="center"/>
            <w:hideMark/>
          </w:tcPr>
          <w:p w14:paraId="466C1D4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-0,9</w:t>
            </w:r>
          </w:p>
        </w:tc>
      </w:tr>
      <w:tr w:rsidR="00C04ADD" w:rsidRPr="00920DA9" w14:paraId="74F16521" w14:textId="77777777" w:rsidTr="00C04ADD">
        <w:trPr>
          <w:trHeight w:val="342"/>
        </w:trPr>
        <w:tc>
          <w:tcPr>
            <w:tcW w:w="419" w:type="dxa"/>
            <w:tcBorders>
              <w:top w:val="nil"/>
              <w:left w:val="nil"/>
              <w:bottom w:val="nil"/>
              <w:right w:val="nil"/>
            </w:tcBorders>
            <w:shd w:val="clear" w:color="auto" w:fill="auto"/>
            <w:noWrap/>
            <w:vAlign w:val="center"/>
            <w:hideMark/>
          </w:tcPr>
          <w:p w14:paraId="1A2EB0DD"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0C43DA31"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22163D5B"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Europa y Asia central</w:t>
            </w:r>
          </w:p>
        </w:tc>
        <w:tc>
          <w:tcPr>
            <w:tcW w:w="720" w:type="dxa"/>
            <w:tcBorders>
              <w:top w:val="nil"/>
              <w:left w:val="nil"/>
              <w:bottom w:val="nil"/>
              <w:right w:val="nil"/>
            </w:tcBorders>
            <w:shd w:val="clear" w:color="000000" w:fill="FFFFFF"/>
            <w:noWrap/>
            <w:vAlign w:val="center"/>
            <w:hideMark/>
          </w:tcPr>
          <w:p w14:paraId="4A3C7E5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4,1</w:t>
            </w:r>
          </w:p>
        </w:tc>
        <w:tc>
          <w:tcPr>
            <w:tcW w:w="630" w:type="dxa"/>
            <w:tcBorders>
              <w:top w:val="nil"/>
              <w:left w:val="nil"/>
              <w:bottom w:val="nil"/>
              <w:right w:val="nil"/>
            </w:tcBorders>
            <w:shd w:val="clear" w:color="000000" w:fill="FFFFFF"/>
            <w:noWrap/>
            <w:vAlign w:val="center"/>
            <w:hideMark/>
          </w:tcPr>
          <w:p w14:paraId="0DC77E8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3,2</w:t>
            </w:r>
          </w:p>
        </w:tc>
        <w:tc>
          <w:tcPr>
            <w:tcW w:w="630" w:type="dxa"/>
            <w:tcBorders>
              <w:top w:val="nil"/>
              <w:left w:val="nil"/>
              <w:bottom w:val="nil"/>
              <w:right w:val="nil"/>
            </w:tcBorders>
            <w:shd w:val="clear" w:color="000000" w:fill="FFFFFF"/>
            <w:noWrap/>
            <w:vAlign w:val="center"/>
            <w:hideMark/>
          </w:tcPr>
          <w:p w14:paraId="394D363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2,0</w:t>
            </w:r>
          </w:p>
        </w:tc>
        <w:tc>
          <w:tcPr>
            <w:tcW w:w="630" w:type="dxa"/>
            <w:tcBorders>
              <w:top w:val="nil"/>
              <w:left w:val="nil"/>
              <w:bottom w:val="nil"/>
              <w:right w:val="nil"/>
            </w:tcBorders>
            <w:shd w:val="clear" w:color="000000" w:fill="FFFFFF"/>
            <w:noWrap/>
            <w:vAlign w:val="center"/>
            <w:hideMark/>
          </w:tcPr>
          <w:p w14:paraId="6224BE0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2,6</w:t>
            </w:r>
          </w:p>
        </w:tc>
        <w:tc>
          <w:tcPr>
            <w:tcW w:w="630" w:type="dxa"/>
            <w:tcBorders>
              <w:top w:val="nil"/>
              <w:left w:val="nil"/>
              <w:bottom w:val="nil"/>
              <w:right w:val="nil"/>
            </w:tcBorders>
            <w:shd w:val="clear" w:color="000000" w:fill="FFFFFF"/>
            <w:noWrap/>
            <w:vAlign w:val="center"/>
            <w:hideMark/>
          </w:tcPr>
          <w:p w14:paraId="369B16A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2,9</w:t>
            </w:r>
          </w:p>
        </w:tc>
        <w:tc>
          <w:tcPr>
            <w:tcW w:w="630" w:type="dxa"/>
            <w:tcBorders>
              <w:top w:val="nil"/>
              <w:left w:val="nil"/>
              <w:bottom w:val="nil"/>
              <w:right w:val="nil"/>
            </w:tcBorders>
            <w:shd w:val="clear" w:color="000000" w:fill="FFFFFF"/>
            <w:noWrap/>
            <w:vAlign w:val="center"/>
            <w:hideMark/>
          </w:tcPr>
          <w:p w14:paraId="76C0745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2,9</w:t>
            </w:r>
          </w:p>
        </w:tc>
        <w:tc>
          <w:tcPr>
            <w:tcW w:w="270" w:type="dxa"/>
            <w:tcBorders>
              <w:top w:val="nil"/>
              <w:left w:val="nil"/>
              <w:bottom w:val="nil"/>
              <w:right w:val="nil"/>
            </w:tcBorders>
            <w:shd w:val="clear" w:color="000000" w:fill="FFFFFF"/>
            <w:noWrap/>
            <w:vAlign w:val="center"/>
            <w:hideMark/>
          </w:tcPr>
          <w:p w14:paraId="503BCA27"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20C71BF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118814B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2C8E94D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26BDBAC9" w14:textId="77777777" w:rsidTr="00C04ADD">
        <w:trPr>
          <w:trHeight w:val="342"/>
        </w:trPr>
        <w:tc>
          <w:tcPr>
            <w:tcW w:w="419" w:type="dxa"/>
            <w:tcBorders>
              <w:top w:val="nil"/>
              <w:left w:val="nil"/>
              <w:bottom w:val="nil"/>
              <w:right w:val="nil"/>
            </w:tcBorders>
            <w:shd w:val="clear" w:color="auto" w:fill="auto"/>
            <w:noWrap/>
            <w:vAlign w:val="center"/>
            <w:hideMark/>
          </w:tcPr>
          <w:p w14:paraId="6BC19F71"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7E0EA703"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132A0CC3"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4F385341"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Rusia</w:t>
            </w:r>
          </w:p>
        </w:tc>
        <w:tc>
          <w:tcPr>
            <w:tcW w:w="720" w:type="dxa"/>
            <w:tcBorders>
              <w:top w:val="nil"/>
              <w:left w:val="nil"/>
              <w:bottom w:val="nil"/>
              <w:right w:val="nil"/>
            </w:tcBorders>
            <w:shd w:val="clear" w:color="000000" w:fill="FFFFFF"/>
            <w:noWrap/>
            <w:vAlign w:val="center"/>
            <w:hideMark/>
          </w:tcPr>
          <w:p w14:paraId="3EDECA3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1,6</w:t>
            </w:r>
          </w:p>
        </w:tc>
        <w:tc>
          <w:tcPr>
            <w:tcW w:w="630" w:type="dxa"/>
            <w:tcBorders>
              <w:top w:val="nil"/>
              <w:left w:val="nil"/>
              <w:bottom w:val="nil"/>
              <w:right w:val="nil"/>
            </w:tcBorders>
            <w:shd w:val="clear" w:color="000000" w:fill="FFFFFF"/>
            <w:noWrap/>
            <w:vAlign w:val="center"/>
            <w:hideMark/>
          </w:tcPr>
          <w:p w14:paraId="0400858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2,3</w:t>
            </w:r>
          </w:p>
        </w:tc>
        <w:tc>
          <w:tcPr>
            <w:tcW w:w="630" w:type="dxa"/>
            <w:tcBorders>
              <w:top w:val="nil"/>
              <w:left w:val="nil"/>
              <w:bottom w:val="nil"/>
              <w:right w:val="nil"/>
            </w:tcBorders>
            <w:shd w:val="clear" w:color="000000" w:fill="FFFFFF"/>
            <w:noWrap/>
            <w:vAlign w:val="center"/>
            <w:hideMark/>
          </w:tcPr>
          <w:p w14:paraId="230EAAC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1,2</w:t>
            </w:r>
          </w:p>
        </w:tc>
        <w:tc>
          <w:tcPr>
            <w:tcW w:w="630" w:type="dxa"/>
            <w:tcBorders>
              <w:top w:val="nil"/>
              <w:left w:val="nil"/>
              <w:bottom w:val="nil"/>
              <w:right w:val="nil"/>
            </w:tcBorders>
            <w:shd w:val="clear" w:color="000000" w:fill="FFFFFF"/>
            <w:noWrap/>
            <w:vAlign w:val="center"/>
            <w:hideMark/>
          </w:tcPr>
          <w:p w14:paraId="04BAC3B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1,6</w:t>
            </w:r>
          </w:p>
        </w:tc>
        <w:tc>
          <w:tcPr>
            <w:tcW w:w="630" w:type="dxa"/>
            <w:tcBorders>
              <w:top w:val="nil"/>
              <w:left w:val="nil"/>
              <w:bottom w:val="nil"/>
              <w:right w:val="nil"/>
            </w:tcBorders>
            <w:shd w:val="clear" w:color="000000" w:fill="FFFFFF"/>
            <w:noWrap/>
            <w:vAlign w:val="center"/>
            <w:hideMark/>
          </w:tcPr>
          <w:p w14:paraId="0BF28C5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1,8</w:t>
            </w:r>
          </w:p>
        </w:tc>
        <w:tc>
          <w:tcPr>
            <w:tcW w:w="630" w:type="dxa"/>
            <w:tcBorders>
              <w:top w:val="nil"/>
              <w:left w:val="nil"/>
              <w:bottom w:val="nil"/>
              <w:right w:val="nil"/>
            </w:tcBorders>
            <w:shd w:val="clear" w:color="000000" w:fill="FFFFFF"/>
            <w:noWrap/>
            <w:vAlign w:val="center"/>
            <w:hideMark/>
          </w:tcPr>
          <w:p w14:paraId="72FE7EB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1,8</w:t>
            </w:r>
          </w:p>
        </w:tc>
        <w:tc>
          <w:tcPr>
            <w:tcW w:w="270" w:type="dxa"/>
            <w:tcBorders>
              <w:top w:val="nil"/>
              <w:left w:val="nil"/>
              <w:bottom w:val="nil"/>
              <w:right w:val="nil"/>
            </w:tcBorders>
            <w:shd w:val="clear" w:color="000000" w:fill="FFFFFF"/>
            <w:noWrap/>
            <w:vAlign w:val="center"/>
            <w:hideMark/>
          </w:tcPr>
          <w:p w14:paraId="284FB9D3"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1598A60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c>
          <w:tcPr>
            <w:tcW w:w="630" w:type="dxa"/>
            <w:tcBorders>
              <w:top w:val="nil"/>
              <w:left w:val="nil"/>
              <w:bottom w:val="nil"/>
              <w:right w:val="nil"/>
            </w:tcBorders>
            <w:shd w:val="clear" w:color="000000" w:fill="FFFFFF"/>
            <w:noWrap/>
            <w:vAlign w:val="center"/>
            <w:hideMark/>
          </w:tcPr>
          <w:p w14:paraId="1C25196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c>
          <w:tcPr>
            <w:tcW w:w="630" w:type="dxa"/>
            <w:tcBorders>
              <w:top w:val="nil"/>
              <w:left w:val="nil"/>
              <w:bottom w:val="nil"/>
              <w:right w:val="nil"/>
            </w:tcBorders>
            <w:shd w:val="clear" w:color="000000" w:fill="FFFFFF"/>
            <w:noWrap/>
            <w:vAlign w:val="center"/>
            <w:hideMark/>
          </w:tcPr>
          <w:p w14:paraId="564B6DB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77557B3D" w14:textId="77777777" w:rsidTr="00C04ADD">
        <w:trPr>
          <w:trHeight w:val="342"/>
        </w:trPr>
        <w:tc>
          <w:tcPr>
            <w:tcW w:w="419" w:type="dxa"/>
            <w:tcBorders>
              <w:top w:val="nil"/>
              <w:left w:val="nil"/>
              <w:bottom w:val="nil"/>
              <w:right w:val="nil"/>
            </w:tcBorders>
            <w:shd w:val="clear" w:color="auto" w:fill="auto"/>
            <w:noWrap/>
            <w:vAlign w:val="center"/>
            <w:hideMark/>
          </w:tcPr>
          <w:p w14:paraId="57B383AA"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1CCEF803"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4B0D4A1B"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57E0BE6E"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Turquía</w:t>
            </w:r>
          </w:p>
        </w:tc>
        <w:tc>
          <w:tcPr>
            <w:tcW w:w="720" w:type="dxa"/>
            <w:tcBorders>
              <w:top w:val="nil"/>
              <w:left w:val="nil"/>
              <w:bottom w:val="nil"/>
              <w:right w:val="nil"/>
            </w:tcBorders>
            <w:shd w:val="clear" w:color="000000" w:fill="FFFFFF"/>
            <w:noWrap/>
            <w:vAlign w:val="center"/>
            <w:hideMark/>
          </w:tcPr>
          <w:p w14:paraId="63F66CE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7,5</w:t>
            </w:r>
          </w:p>
        </w:tc>
        <w:tc>
          <w:tcPr>
            <w:tcW w:w="630" w:type="dxa"/>
            <w:tcBorders>
              <w:top w:val="nil"/>
              <w:left w:val="nil"/>
              <w:bottom w:val="nil"/>
              <w:right w:val="nil"/>
            </w:tcBorders>
            <w:shd w:val="clear" w:color="000000" w:fill="FFFFFF"/>
            <w:noWrap/>
            <w:vAlign w:val="center"/>
            <w:hideMark/>
          </w:tcPr>
          <w:p w14:paraId="7FBBFBA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2,8</w:t>
            </w:r>
          </w:p>
        </w:tc>
        <w:tc>
          <w:tcPr>
            <w:tcW w:w="630" w:type="dxa"/>
            <w:tcBorders>
              <w:top w:val="nil"/>
              <w:left w:val="nil"/>
              <w:bottom w:val="nil"/>
              <w:right w:val="nil"/>
            </w:tcBorders>
            <w:shd w:val="clear" w:color="000000" w:fill="FFFFFF"/>
            <w:noWrap/>
            <w:vAlign w:val="center"/>
            <w:hideMark/>
          </w:tcPr>
          <w:p w14:paraId="69B248E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c>
          <w:tcPr>
            <w:tcW w:w="630" w:type="dxa"/>
            <w:tcBorders>
              <w:top w:val="nil"/>
              <w:left w:val="nil"/>
              <w:bottom w:val="nil"/>
              <w:right w:val="nil"/>
            </w:tcBorders>
            <w:shd w:val="clear" w:color="000000" w:fill="FFFFFF"/>
            <w:noWrap/>
            <w:vAlign w:val="center"/>
            <w:hideMark/>
          </w:tcPr>
          <w:p w14:paraId="77A39CE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3,0</w:t>
            </w:r>
          </w:p>
        </w:tc>
        <w:tc>
          <w:tcPr>
            <w:tcW w:w="630" w:type="dxa"/>
            <w:tcBorders>
              <w:top w:val="nil"/>
              <w:left w:val="nil"/>
              <w:bottom w:val="nil"/>
              <w:right w:val="nil"/>
            </w:tcBorders>
            <w:shd w:val="clear" w:color="000000" w:fill="FFFFFF"/>
            <w:noWrap/>
            <w:vAlign w:val="center"/>
            <w:hideMark/>
          </w:tcPr>
          <w:p w14:paraId="5AC76C1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4,0</w:t>
            </w:r>
          </w:p>
        </w:tc>
        <w:tc>
          <w:tcPr>
            <w:tcW w:w="630" w:type="dxa"/>
            <w:tcBorders>
              <w:top w:val="nil"/>
              <w:left w:val="nil"/>
              <w:bottom w:val="nil"/>
              <w:right w:val="nil"/>
            </w:tcBorders>
            <w:shd w:val="clear" w:color="000000" w:fill="FFFFFF"/>
            <w:noWrap/>
            <w:vAlign w:val="center"/>
            <w:hideMark/>
          </w:tcPr>
          <w:p w14:paraId="2F897E5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4,0</w:t>
            </w:r>
          </w:p>
        </w:tc>
        <w:tc>
          <w:tcPr>
            <w:tcW w:w="270" w:type="dxa"/>
            <w:tcBorders>
              <w:top w:val="nil"/>
              <w:left w:val="nil"/>
              <w:bottom w:val="nil"/>
              <w:right w:val="nil"/>
            </w:tcBorders>
            <w:shd w:val="clear" w:color="000000" w:fill="FFFFFF"/>
            <w:noWrap/>
            <w:vAlign w:val="center"/>
            <w:hideMark/>
          </w:tcPr>
          <w:p w14:paraId="48C102AF"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2F90D20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1,0</w:t>
            </w:r>
          </w:p>
        </w:tc>
        <w:tc>
          <w:tcPr>
            <w:tcW w:w="630" w:type="dxa"/>
            <w:tcBorders>
              <w:top w:val="nil"/>
              <w:left w:val="nil"/>
              <w:bottom w:val="nil"/>
              <w:right w:val="nil"/>
            </w:tcBorders>
            <w:shd w:val="clear" w:color="000000" w:fill="FFFFFF"/>
            <w:noWrap/>
            <w:vAlign w:val="center"/>
            <w:hideMark/>
          </w:tcPr>
          <w:p w14:paraId="61D7652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c>
          <w:tcPr>
            <w:tcW w:w="630" w:type="dxa"/>
            <w:tcBorders>
              <w:top w:val="nil"/>
              <w:left w:val="nil"/>
              <w:bottom w:val="nil"/>
              <w:right w:val="nil"/>
            </w:tcBorders>
            <w:shd w:val="clear" w:color="000000" w:fill="FFFFFF"/>
            <w:noWrap/>
            <w:vAlign w:val="center"/>
            <w:hideMark/>
          </w:tcPr>
          <w:p w14:paraId="1F50BC5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41418183" w14:textId="77777777" w:rsidTr="00C04ADD">
        <w:trPr>
          <w:trHeight w:val="342"/>
        </w:trPr>
        <w:tc>
          <w:tcPr>
            <w:tcW w:w="419" w:type="dxa"/>
            <w:tcBorders>
              <w:top w:val="nil"/>
              <w:left w:val="nil"/>
              <w:bottom w:val="nil"/>
              <w:right w:val="nil"/>
            </w:tcBorders>
            <w:shd w:val="clear" w:color="auto" w:fill="auto"/>
            <w:noWrap/>
            <w:vAlign w:val="center"/>
            <w:hideMark/>
          </w:tcPr>
          <w:p w14:paraId="2565D11E"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4E142C6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76F8A10B"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3B47083A"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Polonia</w:t>
            </w:r>
          </w:p>
        </w:tc>
        <w:tc>
          <w:tcPr>
            <w:tcW w:w="720" w:type="dxa"/>
            <w:tcBorders>
              <w:top w:val="nil"/>
              <w:left w:val="nil"/>
              <w:bottom w:val="nil"/>
              <w:right w:val="nil"/>
            </w:tcBorders>
            <w:shd w:val="clear" w:color="000000" w:fill="FFFFFF"/>
            <w:noWrap/>
            <w:vAlign w:val="center"/>
            <w:hideMark/>
          </w:tcPr>
          <w:p w14:paraId="2F135BD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4,9</w:t>
            </w:r>
          </w:p>
        </w:tc>
        <w:tc>
          <w:tcPr>
            <w:tcW w:w="630" w:type="dxa"/>
            <w:tcBorders>
              <w:top w:val="nil"/>
              <w:left w:val="nil"/>
              <w:bottom w:val="nil"/>
              <w:right w:val="nil"/>
            </w:tcBorders>
            <w:shd w:val="clear" w:color="000000" w:fill="FFFFFF"/>
            <w:noWrap/>
            <w:vAlign w:val="center"/>
            <w:hideMark/>
          </w:tcPr>
          <w:p w14:paraId="14B6CE2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5,1</w:t>
            </w:r>
          </w:p>
        </w:tc>
        <w:tc>
          <w:tcPr>
            <w:tcW w:w="630" w:type="dxa"/>
            <w:tcBorders>
              <w:top w:val="nil"/>
              <w:left w:val="nil"/>
              <w:bottom w:val="nil"/>
              <w:right w:val="nil"/>
            </w:tcBorders>
            <w:shd w:val="clear" w:color="000000" w:fill="FFFFFF"/>
            <w:noWrap/>
            <w:vAlign w:val="center"/>
            <w:hideMark/>
          </w:tcPr>
          <w:p w14:paraId="440F647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4,3</w:t>
            </w:r>
          </w:p>
        </w:tc>
        <w:tc>
          <w:tcPr>
            <w:tcW w:w="630" w:type="dxa"/>
            <w:tcBorders>
              <w:top w:val="nil"/>
              <w:left w:val="nil"/>
              <w:bottom w:val="nil"/>
              <w:right w:val="nil"/>
            </w:tcBorders>
            <w:shd w:val="clear" w:color="000000" w:fill="FFFFFF"/>
            <w:noWrap/>
            <w:vAlign w:val="center"/>
            <w:hideMark/>
          </w:tcPr>
          <w:p w14:paraId="1D8F03B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3,6</w:t>
            </w:r>
          </w:p>
        </w:tc>
        <w:tc>
          <w:tcPr>
            <w:tcW w:w="630" w:type="dxa"/>
            <w:tcBorders>
              <w:top w:val="nil"/>
              <w:left w:val="nil"/>
              <w:bottom w:val="nil"/>
              <w:right w:val="nil"/>
            </w:tcBorders>
            <w:shd w:val="clear" w:color="000000" w:fill="FFFFFF"/>
            <w:noWrap/>
            <w:vAlign w:val="center"/>
            <w:hideMark/>
          </w:tcPr>
          <w:p w14:paraId="128DC04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3,3</w:t>
            </w:r>
          </w:p>
        </w:tc>
        <w:tc>
          <w:tcPr>
            <w:tcW w:w="630" w:type="dxa"/>
            <w:tcBorders>
              <w:top w:val="nil"/>
              <w:left w:val="nil"/>
              <w:bottom w:val="nil"/>
              <w:right w:val="nil"/>
            </w:tcBorders>
            <w:shd w:val="clear" w:color="000000" w:fill="FFFFFF"/>
            <w:noWrap/>
            <w:vAlign w:val="center"/>
            <w:hideMark/>
          </w:tcPr>
          <w:p w14:paraId="6315F38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3,1</w:t>
            </w:r>
          </w:p>
        </w:tc>
        <w:tc>
          <w:tcPr>
            <w:tcW w:w="270" w:type="dxa"/>
            <w:tcBorders>
              <w:top w:val="nil"/>
              <w:left w:val="nil"/>
              <w:bottom w:val="nil"/>
              <w:right w:val="nil"/>
            </w:tcBorders>
            <w:shd w:val="clear" w:color="000000" w:fill="FFFFFF"/>
            <w:noWrap/>
            <w:vAlign w:val="center"/>
            <w:hideMark/>
          </w:tcPr>
          <w:p w14:paraId="5C2C616D"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2DA2753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c>
          <w:tcPr>
            <w:tcW w:w="630" w:type="dxa"/>
            <w:tcBorders>
              <w:top w:val="nil"/>
              <w:left w:val="nil"/>
              <w:bottom w:val="nil"/>
              <w:right w:val="nil"/>
            </w:tcBorders>
            <w:shd w:val="clear" w:color="000000" w:fill="FFFFFF"/>
            <w:noWrap/>
            <w:vAlign w:val="center"/>
            <w:hideMark/>
          </w:tcPr>
          <w:p w14:paraId="4C77273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c>
          <w:tcPr>
            <w:tcW w:w="630" w:type="dxa"/>
            <w:tcBorders>
              <w:top w:val="nil"/>
              <w:left w:val="nil"/>
              <w:bottom w:val="nil"/>
              <w:right w:val="nil"/>
            </w:tcBorders>
            <w:shd w:val="clear" w:color="000000" w:fill="FFFFFF"/>
            <w:noWrap/>
            <w:vAlign w:val="center"/>
            <w:hideMark/>
          </w:tcPr>
          <w:p w14:paraId="1228C60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113750F8" w14:textId="77777777" w:rsidTr="00C04ADD">
        <w:trPr>
          <w:trHeight w:val="342"/>
        </w:trPr>
        <w:tc>
          <w:tcPr>
            <w:tcW w:w="419" w:type="dxa"/>
            <w:tcBorders>
              <w:top w:val="nil"/>
              <w:left w:val="nil"/>
              <w:bottom w:val="nil"/>
              <w:right w:val="nil"/>
            </w:tcBorders>
            <w:shd w:val="clear" w:color="auto" w:fill="auto"/>
            <w:noWrap/>
            <w:vAlign w:val="center"/>
            <w:hideMark/>
          </w:tcPr>
          <w:p w14:paraId="09125450"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1F392CBF"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6F767141"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América Latina y el Caribe</w:t>
            </w:r>
          </w:p>
        </w:tc>
        <w:tc>
          <w:tcPr>
            <w:tcW w:w="720" w:type="dxa"/>
            <w:tcBorders>
              <w:top w:val="nil"/>
              <w:left w:val="nil"/>
              <w:bottom w:val="nil"/>
              <w:right w:val="nil"/>
            </w:tcBorders>
            <w:shd w:val="clear" w:color="000000" w:fill="FFFFFF"/>
            <w:noWrap/>
            <w:vAlign w:val="center"/>
            <w:hideMark/>
          </w:tcPr>
          <w:p w14:paraId="2DE3AA9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630" w:type="dxa"/>
            <w:tcBorders>
              <w:top w:val="nil"/>
              <w:left w:val="nil"/>
              <w:bottom w:val="nil"/>
              <w:right w:val="nil"/>
            </w:tcBorders>
            <w:shd w:val="clear" w:color="000000" w:fill="FFFFFF"/>
            <w:noWrap/>
            <w:vAlign w:val="center"/>
            <w:hideMark/>
          </w:tcPr>
          <w:p w14:paraId="12147D4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630" w:type="dxa"/>
            <w:tcBorders>
              <w:top w:val="nil"/>
              <w:left w:val="nil"/>
              <w:bottom w:val="nil"/>
              <w:right w:val="nil"/>
            </w:tcBorders>
            <w:shd w:val="clear" w:color="000000" w:fill="FFFFFF"/>
            <w:noWrap/>
            <w:vAlign w:val="center"/>
            <w:hideMark/>
          </w:tcPr>
          <w:p w14:paraId="37171AD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0C6E2C6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1,8</w:t>
            </w:r>
          </w:p>
        </w:tc>
        <w:tc>
          <w:tcPr>
            <w:tcW w:w="630" w:type="dxa"/>
            <w:tcBorders>
              <w:top w:val="nil"/>
              <w:left w:val="nil"/>
              <w:bottom w:val="nil"/>
              <w:right w:val="nil"/>
            </w:tcBorders>
            <w:shd w:val="clear" w:color="000000" w:fill="FFFFFF"/>
            <w:noWrap/>
            <w:vAlign w:val="center"/>
            <w:hideMark/>
          </w:tcPr>
          <w:p w14:paraId="79A989D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630" w:type="dxa"/>
            <w:tcBorders>
              <w:top w:val="nil"/>
              <w:left w:val="nil"/>
              <w:bottom w:val="nil"/>
              <w:right w:val="nil"/>
            </w:tcBorders>
            <w:shd w:val="clear" w:color="000000" w:fill="FFFFFF"/>
            <w:noWrap/>
            <w:vAlign w:val="center"/>
            <w:hideMark/>
          </w:tcPr>
          <w:p w14:paraId="781AAA1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2,6</w:t>
            </w:r>
          </w:p>
        </w:tc>
        <w:tc>
          <w:tcPr>
            <w:tcW w:w="270" w:type="dxa"/>
            <w:tcBorders>
              <w:top w:val="nil"/>
              <w:left w:val="nil"/>
              <w:bottom w:val="nil"/>
              <w:right w:val="nil"/>
            </w:tcBorders>
            <w:shd w:val="clear" w:color="000000" w:fill="FFFFFF"/>
            <w:noWrap/>
            <w:vAlign w:val="center"/>
            <w:hideMark/>
          </w:tcPr>
          <w:p w14:paraId="31FC2739"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31797AB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-0,9</w:t>
            </w:r>
          </w:p>
        </w:tc>
        <w:tc>
          <w:tcPr>
            <w:tcW w:w="630" w:type="dxa"/>
            <w:tcBorders>
              <w:top w:val="nil"/>
              <w:left w:val="nil"/>
              <w:bottom w:val="nil"/>
              <w:right w:val="nil"/>
            </w:tcBorders>
            <w:shd w:val="clear" w:color="000000" w:fill="FFFFFF"/>
            <w:noWrap/>
            <w:vAlign w:val="center"/>
            <w:hideMark/>
          </w:tcPr>
          <w:p w14:paraId="1C65A37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023DA03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r>
      <w:tr w:rsidR="00C04ADD" w:rsidRPr="00920DA9" w14:paraId="25D05049" w14:textId="77777777" w:rsidTr="00C04ADD">
        <w:trPr>
          <w:trHeight w:val="330"/>
        </w:trPr>
        <w:tc>
          <w:tcPr>
            <w:tcW w:w="419" w:type="dxa"/>
            <w:tcBorders>
              <w:top w:val="nil"/>
              <w:left w:val="nil"/>
              <w:bottom w:val="nil"/>
              <w:right w:val="nil"/>
            </w:tcBorders>
            <w:shd w:val="clear" w:color="auto" w:fill="auto"/>
            <w:noWrap/>
            <w:vAlign w:val="center"/>
            <w:hideMark/>
          </w:tcPr>
          <w:p w14:paraId="1229F36B"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6E6C18A0"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43F99A47"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59A05BDA"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Brasil</w:t>
            </w:r>
          </w:p>
        </w:tc>
        <w:tc>
          <w:tcPr>
            <w:tcW w:w="720" w:type="dxa"/>
            <w:tcBorders>
              <w:top w:val="nil"/>
              <w:left w:val="nil"/>
              <w:bottom w:val="nil"/>
              <w:right w:val="nil"/>
            </w:tcBorders>
            <w:shd w:val="clear" w:color="000000" w:fill="FFFFFF"/>
            <w:noWrap/>
            <w:vAlign w:val="center"/>
            <w:hideMark/>
          </w:tcPr>
          <w:p w14:paraId="77F08DA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1,3</w:t>
            </w:r>
          </w:p>
        </w:tc>
        <w:tc>
          <w:tcPr>
            <w:tcW w:w="630" w:type="dxa"/>
            <w:tcBorders>
              <w:top w:val="nil"/>
              <w:left w:val="nil"/>
              <w:bottom w:val="nil"/>
              <w:right w:val="nil"/>
            </w:tcBorders>
            <w:shd w:val="clear" w:color="000000" w:fill="FFFFFF"/>
            <w:noWrap/>
            <w:vAlign w:val="center"/>
            <w:hideMark/>
          </w:tcPr>
          <w:p w14:paraId="627799E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1,3</w:t>
            </w:r>
          </w:p>
        </w:tc>
        <w:tc>
          <w:tcPr>
            <w:tcW w:w="630" w:type="dxa"/>
            <w:tcBorders>
              <w:top w:val="nil"/>
              <w:left w:val="nil"/>
              <w:bottom w:val="nil"/>
              <w:right w:val="nil"/>
            </w:tcBorders>
            <w:shd w:val="clear" w:color="000000" w:fill="FFFFFF"/>
            <w:noWrap/>
            <w:vAlign w:val="center"/>
            <w:hideMark/>
          </w:tcPr>
          <w:p w14:paraId="2159445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1,1</w:t>
            </w:r>
          </w:p>
        </w:tc>
        <w:tc>
          <w:tcPr>
            <w:tcW w:w="630" w:type="dxa"/>
            <w:tcBorders>
              <w:top w:val="nil"/>
              <w:left w:val="nil"/>
              <w:bottom w:val="nil"/>
              <w:right w:val="nil"/>
            </w:tcBorders>
            <w:shd w:val="clear" w:color="000000" w:fill="FFFFFF"/>
            <w:noWrap/>
            <w:vAlign w:val="center"/>
            <w:hideMark/>
          </w:tcPr>
          <w:p w14:paraId="789E666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2,0</w:t>
            </w:r>
          </w:p>
        </w:tc>
        <w:tc>
          <w:tcPr>
            <w:tcW w:w="630" w:type="dxa"/>
            <w:tcBorders>
              <w:top w:val="nil"/>
              <w:left w:val="nil"/>
              <w:bottom w:val="nil"/>
              <w:right w:val="nil"/>
            </w:tcBorders>
            <w:shd w:val="clear" w:color="000000" w:fill="FFFFFF"/>
            <w:noWrap/>
            <w:vAlign w:val="center"/>
            <w:hideMark/>
          </w:tcPr>
          <w:p w14:paraId="6FCBB09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2,5</w:t>
            </w:r>
          </w:p>
        </w:tc>
        <w:tc>
          <w:tcPr>
            <w:tcW w:w="630" w:type="dxa"/>
            <w:tcBorders>
              <w:top w:val="nil"/>
              <w:left w:val="nil"/>
              <w:bottom w:val="nil"/>
              <w:right w:val="nil"/>
            </w:tcBorders>
            <w:shd w:val="clear" w:color="000000" w:fill="FFFFFF"/>
            <w:noWrap/>
            <w:vAlign w:val="center"/>
            <w:hideMark/>
          </w:tcPr>
          <w:p w14:paraId="7441B69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270" w:type="dxa"/>
            <w:tcBorders>
              <w:top w:val="nil"/>
              <w:left w:val="nil"/>
              <w:bottom w:val="nil"/>
              <w:right w:val="nil"/>
            </w:tcBorders>
            <w:shd w:val="clear" w:color="000000" w:fill="FFFFFF"/>
            <w:noWrap/>
            <w:vAlign w:val="center"/>
            <w:hideMark/>
          </w:tcPr>
          <w:p w14:paraId="1805B750"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2E563B6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3D32836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-0,5</w:t>
            </w:r>
          </w:p>
        </w:tc>
        <w:tc>
          <w:tcPr>
            <w:tcW w:w="630" w:type="dxa"/>
            <w:tcBorders>
              <w:top w:val="nil"/>
              <w:left w:val="nil"/>
              <w:bottom w:val="nil"/>
              <w:right w:val="nil"/>
            </w:tcBorders>
            <w:shd w:val="clear" w:color="000000" w:fill="FFFFFF"/>
            <w:noWrap/>
            <w:vAlign w:val="center"/>
            <w:hideMark/>
          </w:tcPr>
          <w:p w14:paraId="55E74F0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r>
      <w:tr w:rsidR="00C04ADD" w:rsidRPr="00920DA9" w14:paraId="35B29786" w14:textId="77777777" w:rsidTr="00C04ADD">
        <w:trPr>
          <w:trHeight w:val="342"/>
        </w:trPr>
        <w:tc>
          <w:tcPr>
            <w:tcW w:w="419" w:type="dxa"/>
            <w:tcBorders>
              <w:top w:val="nil"/>
              <w:left w:val="nil"/>
              <w:bottom w:val="nil"/>
              <w:right w:val="nil"/>
            </w:tcBorders>
            <w:shd w:val="clear" w:color="auto" w:fill="auto"/>
            <w:noWrap/>
            <w:vAlign w:val="center"/>
            <w:hideMark/>
          </w:tcPr>
          <w:p w14:paraId="43A4BA97"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219703EE"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397E8978"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466C896D"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México</w:t>
            </w:r>
          </w:p>
        </w:tc>
        <w:tc>
          <w:tcPr>
            <w:tcW w:w="720" w:type="dxa"/>
            <w:tcBorders>
              <w:top w:val="nil"/>
              <w:left w:val="nil"/>
              <w:bottom w:val="nil"/>
              <w:right w:val="nil"/>
            </w:tcBorders>
            <w:shd w:val="clear" w:color="000000" w:fill="FFFFFF"/>
            <w:noWrap/>
            <w:vAlign w:val="center"/>
            <w:hideMark/>
          </w:tcPr>
          <w:p w14:paraId="4CE0E35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2,1</w:t>
            </w:r>
          </w:p>
        </w:tc>
        <w:tc>
          <w:tcPr>
            <w:tcW w:w="630" w:type="dxa"/>
            <w:tcBorders>
              <w:top w:val="nil"/>
              <w:left w:val="nil"/>
              <w:bottom w:val="nil"/>
              <w:right w:val="nil"/>
            </w:tcBorders>
            <w:shd w:val="clear" w:color="000000" w:fill="FFFFFF"/>
            <w:noWrap/>
            <w:vAlign w:val="center"/>
            <w:hideMark/>
          </w:tcPr>
          <w:p w14:paraId="6A7EDBD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2,1</w:t>
            </w:r>
          </w:p>
        </w:tc>
        <w:tc>
          <w:tcPr>
            <w:tcW w:w="630" w:type="dxa"/>
            <w:tcBorders>
              <w:top w:val="nil"/>
              <w:left w:val="nil"/>
              <w:bottom w:val="nil"/>
              <w:right w:val="nil"/>
            </w:tcBorders>
            <w:shd w:val="clear" w:color="000000" w:fill="FFFFFF"/>
            <w:noWrap/>
            <w:vAlign w:val="center"/>
            <w:hideMark/>
          </w:tcPr>
          <w:p w14:paraId="1FC4D9B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c>
          <w:tcPr>
            <w:tcW w:w="630" w:type="dxa"/>
            <w:tcBorders>
              <w:top w:val="nil"/>
              <w:left w:val="nil"/>
              <w:bottom w:val="nil"/>
              <w:right w:val="nil"/>
            </w:tcBorders>
            <w:shd w:val="clear" w:color="000000" w:fill="FFFFFF"/>
            <w:noWrap/>
            <w:vAlign w:val="center"/>
            <w:hideMark/>
          </w:tcPr>
          <w:p w14:paraId="5DE2138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1,2</w:t>
            </w:r>
          </w:p>
        </w:tc>
        <w:tc>
          <w:tcPr>
            <w:tcW w:w="630" w:type="dxa"/>
            <w:tcBorders>
              <w:top w:val="nil"/>
              <w:left w:val="nil"/>
              <w:bottom w:val="nil"/>
              <w:right w:val="nil"/>
            </w:tcBorders>
            <w:shd w:val="clear" w:color="000000" w:fill="FFFFFF"/>
            <w:noWrap/>
            <w:vAlign w:val="center"/>
            <w:hideMark/>
          </w:tcPr>
          <w:p w14:paraId="45151E0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1,8</w:t>
            </w:r>
          </w:p>
        </w:tc>
        <w:tc>
          <w:tcPr>
            <w:tcW w:w="630" w:type="dxa"/>
            <w:tcBorders>
              <w:top w:val="nil"/>
              <w:left w:val="nil"/>
              <w:bottom w:val="nil"/>
              <w:right w:val="nil"/>
            </w:tcBorders>
            <w:shd w:val="clear" w:color="000000" w:fill="FFFFFF"/>
            <w:noWrap/>
            <w:vAlign w:val="center"/>
            <w:hideMark/>
          </w:tcPr>
          <w:p w14:paraId="562CEA0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2,3</w:t>
            </w:r>
          </w:p>
        </w:tc>
        <w:tc>
          <w:tcPr>
            <w:tcW w:w="270" w:type="dxa"/>
            <w:tcBorders>
              <w:top w:val="nil"/>
              <w:left w:val="nil"/>
              <w:bottom w:val="nil"/>
              <w:right w:val="nil"/>
            </w:tcBorders>
            <w:shd w:val="clear" w:color="000000" w:fill="FFFFFF"/>
            <w:noWrap/>
            <w:vAlign w:val="center"/>
            <w:hideMark/>
          </w:tcPr>
          <w:p w14:paraId="141AC3F8"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61DCC82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630" w:type="dxa"/>
            <w:tcBorders>
              <w:top w:val="nil"/>
              <w:left w:val="nil"/>
              <w:bottom w:val="nil"/>
              <w:right w:val="nil"/>
            </w:tcBorders>
            <w:shd w:val="clear" w:color="000000" w:fill="FFFFFF"/>
            <w:noWrap/>
            <w:vAlign w:val="center"/>
            <w:hideMark/>
          </w:tcPr>
          <w:p w14:paraId="6DF654F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1E2612F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-0,6</w:t>
            </w:r>
          </w:p>
        </w:tc>
      </w:tr>
      <w:tr w:rsidR="00C04ADD" w:rsidRPr="00920DA9" w14:paraId="3A2E138D" w14:textId="77777777" w:rsidTr="00C04ADD">
        <w:trPr>
          <w:trHeight w:val="342"/>
        </w:trPr>
        <w:tc>
          <w:tcPr>
            <w:tcW w:w="419" w:type="dxa"/>
            <w:tcBorders>
              <w:top w:val="nil"/>
              <w:left w:val="nil"/>
              <w:bottom w:val="nil"/>
              <w:right w:val="nil"/>
            </w:tcBorders>
            <w:shd w:val="clear" w:color="auto" w:fill="auto"/>
            <w:noWrap/>
            <w:vAlign w:val="center"/>
            <w:hideMark/>
          </w:tcPr>
          <w:p w14:paraId="1F6BCAF2"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0555628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37B1D33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3C01070D"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Argentina</w:t>
            </w:r>
          </w:p>
        </w:tc>
        <w:tc>
          <w:tcPr>
            <w:tcW w:w="720" w:type="dxa"/>
            <w:tcBorders>
              <w:top w:val="nil"/>
              <w:left w:val="nil"/>
              <w:bottom w:val="nil"/>
              <w:right w:val="nil"/>
            </w:tcBorders>
            <w:shd w:val="clear" w:color="000000" w:fill="FFFFFF"/>
            <w:noWrap/>
            <w:vAlign w:val="center"/>
            <w:hideMark/>
          </w:tcPr>
          <w:p w14:paraId="0E78534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2,7</w:t>
            </w:r>
          </w:p>
        </w:tc>
        <w:tc>
          <w:tcPr>
            <w:tcW w:w="630" w:type="dxa"/>
            <w:tcBorders>
              <w:top w:val="nil"/>
              <w:left w:val="nil"/>
              <w:bottom w:val="nil"/>
              <w:right w:val="nil"/>
            </w:tcBorders>
            <w:shd w:val="clear" w:color="000000" w:fill="FFFFFF"/>
            <w:noWrap/>
            <w:vAlign w:val="center"/>
            <w:hideMark/>
          </w:tcPr>
          <w:p w14:paraId="3920285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-2,5</w:t>
            </w:r>
          </w:p>
        </w:tc>
        <w:tc>
          <w:tcPr>
            <w:tcW w:w="630" w:type="dxa"/>
            <w:tcBorders>
              <w:top w:val="nil"/>
              <w:left w:val="nil"/>
              <w:bottom w:val="nil"/>
              <w:right w:val="nil"/>
            </w:tcBorders>
            <w:shd w:val="clear" w:color="000000" w:fill="FFFFFF"/>
            <w:noWrap/>
            <w:vAlign w:val="center"/>
            <w:hideMark/>
          </w:tcPr>
          <w:p w14:paraId="21B9092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-3,1</w:t>
            </w:r>
          </w:p>
        </w:tc>
        <w:tc>
          <w:tcPr>
            <w:tcW w:w="630" w:type="dxa"/>
            <w:tcBorders>
              <w:top w:val="nil"/>
              <w:left w:val="nil"/>
              <w:bottom w:val="nil"/>
              <w:right w:val="nil"/>
            </w:tcBorders>
            <w:shd w:val="clear" w:color="000000" w:fill="FFFFFF"/>
            <w:noWrap/>
            <w:vAlign w:val="center"/>
            <w:hideMark/>
          </w:tcPr>
          <w:p w14:paraId="52A195D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-1,3</w:t>
            </w:r>
          </w:p>
        </w:tc>
        <w:tc>
          <w:tcPr>
            <w:tcW w:w="630" w:type="dxa"/>
            <w:tcBorders>
              <w:top w:val="nil"/>
              <w:left w:val="nil"/>
              <w:bottom w:val="nil"/>
              <w:right w:val="nil"/>
            </w:tcBorders>
            <w:shd w:val="clear" w:color="000000" w:fill="FFFFFF"/>
            <w:noWrap/>
            <w:vAlign w:val="center"/>
            <w:hideMark/>
          </w:tcPr>
          <w:p w14:paraId="1BFEC73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1,4</w:t>
            </w:r>
          </w:p>
        </w:tc>
        <w:tc>
          <w:tcPr>
            <w:tcW w:w="630" w:type="dxa"/>
            <w:tcBorders>
              <w:top w:val="nil"/>
              <w:left w:val="nil"/>
              <w:bottom w:val="nil"/>
              <w:right w:val="nil"/>
            </w:tcBorders>
            <w:shd w:val="clear" w:color="000000" w:fill="FFFFFF"/>
            <w:noWrap/>
            <w:vAlign w:val="center"/>
            <w:hideMark/>
          </w:tcPr>
          <w:p w14:paraId="182DDFA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2,3</w:t>
            </w:r>
          </w:p>
        </w:tc>
        <w:tc>
          <w:tcPr>
            <w:tcW w:w="270" w:type="dxa"/>
            <w:tcBorders>
              <w:top w:val="nil"/>
              <w:left w:val="nil"/>
              <w:bottom w:val="nil"/>
              <w:right w:val="nil"/>
            </w:tcBorders>
            <w:shd w:val="clear" w:color="000000" w:fill="FFFFFF"/>
            <w:noWrap/>
            <w:vAlign w:val="center"/>
            <w:hideMark/>
          </w:tcPr>
          <w:p w14:paraId="32E9CC81"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4E574B9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630" w:type="dxa"/>
            <w:tcBorders>
              <w:top w:val="nil"/>
              <w:left w:val="nil"/>
              <w:bottom w:val="nil"/>
              <w:right w:val="nil"/>
            </w:tcBorders>
            <w:shd w:val="clear" w:color="000000" w:fill="FFFFFF"/>
            <w:noWrap/>
            <w:vAlign w:val="center"/>
            <w:hideMark/>
          </w:tcPr>
          <w:p w14:paraId="05FC2B8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-3,5</w:t>
            </w:r>
          </w:p>
        </w:tc>
        <w:tc>
          <w:tcPr>
            <w:tcW w:w="630" w:type="dxa"/>
            <w:tcBorders>
              <w:top w:val="nil"/>
              <w:left w:val="nil"/>
              <w:bottom w:val="nil"/>
              <w:right w:val="nil"/>
            </w:tcBorders>
            <w:shd w:val="clear" w:color="000000" w:fill="FFFFFF"/>
            <w:noWrap/>
            <w:vAlign w:val="center"/>
            <w:hideMark/>
          </w:tcPr>
          <w:p w14:paraId="361E0EE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-1,8</w:t>
            </w:r>
          </w:p>
        </w:tc>
      </w:tr>
      <w:tr w:rsidR="00C04ADD" w:rsidRPr="00920DA9" w14:paraId="446E5023" w14:textId="77777777" w:rsidTr="00C04ADD">
        <w:trPr>
          <w:trHeight w:val="342"/>
        </w:trPr>
        <w:tc>
          <w:tcPr>
            <w:tcW w:w="419" w:type="dxa"/>
            <w:tcBorders>
              <w:top w:val="nil"/>
              <w:left w:val="nil"/>
              <w:bottom w:val="nil"/>
              <w:right w:val="nil"/>
            </w:tcBorders>
            <w:shd w:val="clear" w:color="auto" w:fill="auto"/>
            <w:noWrap/>
            <w:vAlign w:val="center"/>
            <w:hideMark/>
          </w:tcPr>
          <w:p w14:paraId="14B0D015"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5E2B7085"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438895AD"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 xml:space="preserve">Oriente Medio y Norte de África </w:t>
            </w:r>
          </w:p>
        </w:tc>
        <w:tc>
          <w:tcPr>
            <w:tcW w:w="720" w:type="dxa"/>
            <w:tcBorders>
              <w:top w:val="nil"/>
              <w:left w:val="nil"/>
              <w:bottom w:val="nil"/>
              <w:right w:val="nil"/>
            </w:tcBorders>
            <w:shd w:val="clear" w:color="000000" w:fill="FFFFFF"/>
            <w:noWrap/>
            <w:vAlign w:val="center"/>
            <w:hideMark/>
          </w:tcPr>
          <w:p w14:paraId="69E2F53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1,1</w:t>
            </w:r>
          </w:p>
        </w:tc>
        <w:tc>
          <w:tcPr>
            <w:tcW w:w="630" w:type="dxa"/>
            <w:tcBorders>
              <w:top w:val="nil"/>
              <w:left w:val="nil"/>
              <w:bottom w:val="nil"/>
              <w:right w:val="nil"/>
            </w:tcBorders>
            <w:shd w:val="clear" w:color="000000" w:fill="FFFFFF"/>
            <w:noWrap/>
            <w:vAlign w:val="center"/>
            <w:hideMark/>
          </w:tcPr>
          <w:p w14:paraId="42E7653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4222444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37A1F6B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630" w:type="dxa"/>
            <w:tcBorders>
              <w:top w:val="nil"/>
              <w:left w:val="nil"/>
              <w:bottom w:val="nil"/>
              <w:right w:val="nil"/>
            </w:tcBorders>
            <w:shd w:val="clear" w:color="000000" w:fill="FFFFFF"/>
            <w:noWrap/>
            <w:vAlign w:val="center"/>
            <w:hideMark/>
          </w:tcPr>
          <w:p w14:paraId="5B838B2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2,7</w:t>
            </w:r>
          </w:p>
        </w:tc>
        <w:tc>
          <w:tcPr>
            <w:tcW w:w="630" w:type="dxa"/>
            <w:tcBorders>
              <w:top w:val="nil"/>
              <w:left w:val="nil"/>
              <w:bottom w:val="nil"/>
              <w:right w:val="nil"/>
            </w:tcBorders>
            <w:shd w:val="clear" w:color="000000" w:fill="FFFFFF"/>
            <w:noWrap/>
            <w:vAlign w:val="center"/>
            <w:hideMark/>
          </w:tcPr>
          <w:p w14:paraId="607F010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2,8</w:t>
            </w:r>
          </w:p>
        </w:tc>
        <w:tc>
          <w:tcPr>
            <w:tcW w:w="270" w:type="dxa"/>
            <w:tcBorders>
              <w:top w:val="nil"/>
              <w:left w:val="nil"/>
              <w:bottom w:val="nil"/>
              <w:right w:val="nil"/>
            </w:tcBorders>
            <w:shd w:val="clear" w:color="000000" w:fill="FFFFFF"/>
            <w:noWrap/>
            <w:vAlign w:val="center"/>
            <w:hideMark/>
          </w:tcPr>
          <w:p w14:paraId="03568465"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2921C1E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-1,2</w:t>
            </w:r>
          </w:p>
        </w:tc>
        <w:tc>
          <w:tcPr>
            <w:tcW w:w="630" w:type="dxa"/>
            <w:tcBorders>
              <w:top w:val="nil"/>
              <w:left w:val="nil"/>
              <w:bottom w:val="nil"/>
              <w:right w:val="nil"/>
            </w:tcBorders>
            <w:shd w:val="clear" w:color="000000" w:fill="FFFFFF"/>
            <w:noWrap/>
            <w:vAlign w:val="center"/>
            <w:hideMark/>
          </w:tcPr>
          <w:p w14:paraId="0F19738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5E7187A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665AA8F9" w14:textId="77777777" w:rsidTr="00C04ADD">
        <w:trPr>
          <w:trHeight w:val="342"/>
        </w:trPr>
        <w:tc>
          <w:tcPr>
            <w:tcW w:w="419" w:type="dxa"/>
            <w:tcBorders>
              <w:top w:val="nil"/>
              <w:left w:val="nil"/>
              <w:bottom w:val="nil"/>
              <w:right w:val="nil"/>
            </w:tcBorders>
            <w:shd w:val="clear" w:color="auto" w:fill="auto"/>
            <w:noWrap/>
            <w:vAlign w:val="center"/>
            <w:hideMark/>
          </w:tcPr>
          <w:p w14:paraId="57051E36"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7A64F31A"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0DCF2575"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5EDCBA77"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Arabia Saudita</w:t>
            </w:r>
          </w:p>
        </w:tc>
        <w:tc>
          <w:tcPr>
            <w:tcW w:w="720" w:type="dxa"/>
            <w:tcBorders>
              <w:top w:val="nil"/>
              <w:left w:val="nil"/>
              <w:bottom w:val="nil"/>
              <w:right w:val="nil"/>
            </w:tcBorders>
            <w:shd w:val="clear" w:color="000000" w:fill="FFFFFF"/>
            <w:noWrap/>
            <w:vAlign w:val="center"/>
            <w:hideMark/>
          </w:tcPr>
          <w:p w14:paraId="54EA539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-0,7</w:t>
            </w:r>
          </w:p>
        </w:tc>
        <w:tc>
          <w:tcPr>
            <w:tcW w:w="630" w:type="dxa"/>
            <w:tcBorders>
              <w:top w:val="nil"/>
              <w:left w:val="nil"/>
              <w:bottom w:val="nil"/>
              <w:right w:val="nil"/>
            </w:tcBorders>
            <w:shd w:val="clear" w:color="000000" w:fill="FFFFFF"/>
            <w:noWrap/>
            <w:vAlign w:val="center"/>
            <w:hideMark/>
          </w:tcPr>
          <w:p w14:paraId="3C95214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630" w:type="dxa"/>
            <w:tcBorders>
              <w:top w:val="nil"/>
              <w:left w:val="nil"/>
              <w:bottom w:val="nil"/>
              <w:right w:val="nil"/>
            </w:tcBorders>
            <w:shd w:val="clear" w:color="000000" w:fill="FFFFFF"/>
            <w:noWrap/>
            <w:vAlign w:val="center"/>
            <w:hideMark/>
          </w:tcPr>
          <w:p w14:paraId="402A190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2A0DF30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630" w:type="dxa"/>
            <w:tcBorders>
              <w:top w:val="nil"/>
              <w:left w:val="nil"/>
              <w:bottom w:val="nil"/>
              <w:right w:val="nil"/>
            </w:tcBorders>
            <w:shd w:val="clear" w:color="000000" w:fill="FFFFFF"/>
            <w:noWrap/>
            <w:vAlign w:val="center"/>
            <w:hideMark/>
          </w:tcPr>
          <w:p w14:paraId="7431788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2,2</w:t>
            </w:r>
          </w:p>
        </w:tc>
        <w:tc>
          <w:tcPr>
            <w:tcW w:w="630" w:type="dxa"/>
            <w:tcBorders>
              <w:top w:val="nil"/>
              <w:left w:val="nil"/>
              <w:bottom w:val="nil"/>
              <w:right w:val="nil"/>
            </w:tcBorders>
            <w:shd w:val="clear" w:color="000000" w:fill="FFFFFF"/>
            <w:noWrap/>
            <w:vAlign w:val="center"/>
            <w:hideMark/>
          </w:tcPr>
          <w:p w14:paraId="28E9F89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270" w:type="dxa"/>
            <w:tcBorders>
              <w:top w:val="nil"/>
              <w:left w:val="nil"/>
              <w:bottom w:val="nil"/>
              <w:right w:val="nil"/>
            </w:tcBorders>
            <w:shd w:val="clear" w:color="000000" w:fill="FFFFFF"/>
            <w:noWrap/>
            <w:vAlign w:val="center"/>
            <w:hideMark/>
          </w:tcPr>
          <w:p w14:paraId="32F1693B"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725EC9C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-1,3</w:t>
            </w:r>
          </w:p>
        </w:tc>
        <w:tc>
          <w:tcPr>
            <w:tcW w:w="630" w:type="dxa"/>
            <w:tcBorders>
              <w:top w:val="nil"/>
              <w:left w:val="nil"/>
              <w:bottom w:val="nil"/>
              <w:right w:val="nil"/>
            </w:tcBorders>
            <w:shd w:val="clear" w:color="000000" w:fill="FFFFFF"/>
            <w:noWrap/>
            <w:vAlign w:val="center"/>
            <w:hideMark/>
          </w:tcPr>
          <w:p w14:paraId="396F02B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-1,2</w:t>
            </w:r>
          </w:p>
        </w:tc>
        <w:tc>
          <w:tcPr>
            <w:tcW w:w="630" w:type="dxa"/>
            <w:tcBorders>
              <w:top w:val="nil"/>
              <w:left w:val="nil"/>
              <w:bottom w:val="nil"/>
              <w:right w:val="nil"/>
            </w:tcBorders>
            <w:shd w:val="clear" w:color="000000" w:fill="FFFFFF"/>
            <w:noWrap/>
            <w:vAlign w:val="center"/>
            <w:hideMark/>
          </w:tcPr>
          <w:p w14:paraId="72C7642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r>
      <w:tr w:rsidR="00C04ADD" w:rsidRPr="00920DA9" w14:paraId="7D67C381" w14:textId="77777777" w:rsidTr="00C04ADD">
        <w:trPr>
          <w:trHeight w:val="342"/>
        </w:trPr>
        <w:tc>
          <w:tcPr>
            <w:tcW w:w="419" w:type="dxa"/>
            <w:tcBorders>
              <w:top w:val="nil"/>
              <w:left w:val="nil"/>
              <w:bottom w:val="nil"/>
              <w:right w:val="nil"/>
            </w:tcBorders>
            <w:shd w:val="clear" w:color="auto" w:fill="auto"/>
            <w:noWrap/>
            <w:vAlign w:val="center"/>
            <w:hideMark/>
          </w:tcPr>
          <w:p w14:paraId="3F115344"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16B42661"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18312671"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309C704E"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Irán</w:t>
            </w:r>
          </w:p>
        </w:tc>
        <w:tc>
          <w:tcPr>
            <w:tcW w:w="720" w:type="dxa"/>
            <w:tcBorders>
              <w:top w:val="nil"/>
              <w:left w:val="nil"/>
              <w:bottom w:val="nil"/>
              <w:right w:val="nil"/>
            </w:tcBorders>
            <w:shd w:val="clear" w:color="000000" w:fill="FFFFFF"/>
            <w:noWrap/>
            <w:vAlign w:val="center"/>
            <w:hideMark/>
          </w:tcPr>
          <w:p w14:paraId="7C8D1D1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3,8</w:t>
            </w:r>
          </w:p>
        </w:tc>
        <w:tc>
          <w:tcPr>
            <w:tcW w:w="630" w:type="dxa"/>
            <w:tcBorders>
              <w:top w:val="nil"/>
              <w:left w:val="nil"/>
              <w:bottom w:val="nil"/>
              <w:right w:val="nil"/>
            </w:tcBorders>
            <w:shd w:val="clear" w:color="000000" w:fill="FFFFFF"/>
            <w:noWrap/>
            <w:vAlign w:val="center"/>
            <w:hideMark/>
          </w:tcPr>
          <w:p w14:paraId="4CA2543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-4,9</w:t>
            </w:r>
          </w:p>
        </w:tc>
        <w:tc>
          <w:tcPr>
            <w:tcW w:w="630" w:type="dxa"/>
            <w:tcBorders>
              <w:top w:val="nil"/>
              <w:left w:val="nil"/>
              <w:bottom w:val="nil"/>
              <w:right w:val="nil"/>
            </w:tcBorders>
            <w:shd w:val="clear" w:color="000000" w:fill="FFFFFF"/>
            <w:noWrap/>
            <w:vAlign w:val="center"/>
            <w:hideMark/>
          </w:tcPr>
          <w:p w14:paraId="0A84F5C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-8,7</w:t>
            </w:r>
          </w:p>
        </w:tc>
        <w:tc>
          <w:tcPr>
            <w:tcW w:w="630" w:type="dxa"/>
            <w:tcBorders>
              <w:top w:val="nil"/>
              <w:left w:val="nil"/>
              <w:bottom w:val="nil"/>
              <w:right w:val="nil"/>
            </w:tcBorders>
            <w:shd w:val="clear" w:color="000000" w:fill="FFFFFF"/>
            <w:noWrap/>
            <w:vAlign w:val="center"/>
            <w:hideMark/>
          </w:tcPr>
          <w:p w14:paraId="29D5B78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c>
          <w:tcPr>
            <w:tcW w:w="630" w:type="dxa"/>
            <w:tcBorders>
              <w:top w:val="nil"/>
              <w:left w:val="nil"/>
              <w:bottom w:val="nil"/>
              <w:right w:val="nil"/>
            </w:tcBorders>
            <w:shd w:val="clear" w:color="000000" w:fill="FFFFFF"/>
            <w:noWrap/>
            <w:vAlign w:val="center"/>
            <w:hideMark/>
          </w:tcPr>
          <w:p w14:paraId="06EF510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1,0</w:t>
            </w:r>
          </w:p>
        </w:tc>
        <w:tc>
          <w:tcPr>
            <w:tcW w:w="630" w:type="dxa"/>
            <w:tcBorders>
              <w:top w:val="nil"/>
              <w:left w:val="nil"/>
              <w:bottom w:val="nil"/>
              <w:right w:val="nil"/>
            </w:tcBorders>
            <w:shd w:val="clear" w:color="000000" w:fill="FFFFFF"/>
            <w:noWrap/>
            <w:vAlign w:val="center"/>
            <w:hideMark/>
          </w:tcPr>
          <w:p w14:paraId="2605156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1,0</w:t>
            </w:r>
          </w:p>
        </w:tc>
        <w:tc>
          <w:tcPr>
            <w:tcW w:w="270" w:type="dxa"/>
            <w:tcBorders>
              <w:top w:val="nil"/>
              <w:left w:val="nil"/>
              <w:bottom w:val="nil"/>
              <w:right w:val="nil"/>
            </w:tcBorders>
            <w:shd w:val="clear" w:color="000000" w:fill="FFFFFF"/>
            <w:noWrap/>
            <w:vAlign w:val="center"/>
            <w:hideMark/>
          </w:tcPr>
          <w:p w14:paraId="2C11B973"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3F0445B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-4,2</w:t>
            </w:r>
          </w:p>
        </w:tc>
        <w:tc>
          <w:tcPr>
            <w:tcW w:w="630" w:type="dxa"/>
            <w:tcBorders>
              <w:top w:val="nil"/>
              <w:left w:val="nil"/>
              <w:bottom w:val="nil"/>
              <w:right w:val="nil"/>
            </w:tcBorders>
            <w:shd w:val="clear" w:color="000000" w:fill="FFFFFF"/>
            <w:noWrap/>
            <w:vAlign w:val="center"/>
            <w:hideMark/>
          </w:tcPr>
          <w:p w14:paraId="21F4897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-0,9</w:t>
            </w:r>
          </w:p>
        </w:tc>
        <w:tc>
          <w:tcPr>
            <w:tcW w:w="630" w:type="dxa"/>
            <w:tcBorders>
              <w:top w:val="nil"/>
              <w:left w:val="nil"/>
              <w:bottom w:val="nil"/>
              <w:right w:val="nil"/>
            </w:tcBorders>
            <w:shd w:val="clear" w:color="000000" w:fill="FFFFFF"/>
            <w:noWrap/>
            <w:vAlign w:val="center"/>
            <w:hideMark/>
          </w:tcPr>
          <w:p w14:paraId="3D4AE60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1DC5F138" w14:textId="77777777" w:rsidTr="00C04ADD">
        <w:trPr>
          <w:trHeight w:val="405"/>
        </w:trPr>
        <w:tc>
          <w:tcPr>
            <w:tcW w:w="419" w:type="dxa"/>
            <w:tcBorders>
              <w:top w:val="nil"/>
              <w:left w:val="nil"/>
              <w:bottom w:val="nil"/>
              <w:right w:val="nil"/>
            </w:tcBorders>
            <w:shd w:val="clear" w:color="auto" w:fill="auto"/>
            <w:noWrap/>
            <w:vAlign w:val="center"/>
            <w:hideMark/>
          </w:tcPr>
          <w:p w14:paraId="10C41CB5"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4E8E1482"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3BB5A761"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42E2FA26"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Egipto</w:t>
            </w:r>
            <w:r w:rsidRPr="00920DA9">
              <w:rPr>
                <w:color w:val="262626"/>
                <w:sz w:val="18"/>
                <w:szCs w:val="18"/>
                <w:vertAlign w:val="superscript"/>
              </w:rPr>
              <w:t>2</w:t>
            </w:r>
          </w:p>
        </w:tc>
        <w:tc>
          <w:tcPr>
            <w:tcW w:w="720" w:type="dxa"/>
            <w:tcBorders>
              <w:top w:val="nil"/>
              <w:left w:val="nil"/>
              <w:bottom w:val="nil"/>
              <w:right w:val="nil"/>
            </w:tcBorders>
            <w:shd w:val="clear" w:color="000000" w:fill="FFFFFF"/>
            <w:noWrap/>
            <w:vAlign w:val="center"/>
            <w:hideMark/>
          </w:tcPr>
          <w:p w14:paraId="18A3495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4,2</w:t>
            </w:r>
          </w:p>
        </w:tc>
        <w:tc>
          <w:tcPr>
            <w:tcW w:w="630" w:type="dxa"/>
            <w:tcBorders>
              <w:top w:val="nil"/>
              <w:left w:val="nil"/>
              <w:bottom w:val="nil"/>
              <w:right w:val="nil"/>
            </w:tcBorders>
            <w:shd w:val="clear" w:color="000000" w:fill="FFFFFF"/>
            <w:noWrap/>
            <w:vAlign w:val="center"/>
            <w:hideMark/>
          </w:tcPr>
          <w:p w14:paraId="4B4157A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5,3</w:t>
            </w:r>
          </w:p>
        </w:tc>
        <w:tc>
          <w:tcPr>
            <w:tcW w:w="630" w:type="dxa"/>
            <w:tcBorders>
              <w:top w:val="nil"/>
              <w:left w:val="nil"/>
              <w:bottom w:val="nil"/>
              <w:right w:val="nil"/>
            </w:tcBorders>
            <w:shd w:val="clear" w:color="000000" w:fill="FFFFFF"/>
            <w:noWrap/>
            <w:vAlign w:val="center"/>
            <w:hideMark/>
          </w:tcPr>
          <w:p w14:paraId="24CCCC0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5,6</w:t>
            </w:r>
          </w:p>
        </w:tc>
        <w:tc>
          <w:tcPr>
            <w:tcW w:w="630" w:type="dxa"/>
            <w:tcBorders>
              <w:top w:val="nil"/>
              <w:left w:val="nil"/>
              <w:bottom w:val="nil"/>
              <w:right w:val="nil"/>
            </w:tcBorders>
            <w:shd w:val="clear" w:color="000000" w:fill="FFFFFF"/>
            <w:noWrap/>
            <w:vAlign w:val="center"/>
            <w:hideMark/>
          </w:tcPr>
          <w:p w14:paraId="5FBD10D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5,8</w:t>
            </w:r>
          </w:p>
        </w:tc>
        <w:tc>
          <w:tcPr>
            <w:tcW w:w="630" w:type="dxa"/>
            <w:tcBorders>
              <w:top w:val="nil"/>
              <w:left w:val="nil"/>
              <w:bottom w:val="nil"/>
              <w:right w:val="nil"/>
            </w:tcBorders>
            <w:shd w:val="clear" w:color="000000" w:fill="FFFFFF"/>
            <w:noWrap/>
            <w:vAlign w:val="center"/>
            <w:hideMark/>
          </w:tcPr>
          <w:p w14:paraId="733D286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6,0</w:t>
            </w:r>
          </w:p>
        </w:tc>
        <w:tc>
          <w:tcPr>
            <w:tcW w:w="630" w:type="dxa"/>
            <w:tcBorders>
              <w:top w:val="nil"/>
              <w:left w:val="nil"/>
              <w:bottom w:val="nil"/>
              <w:right w:val="nil"/>
            </w:tcBorders>
            <w:shd w:val="clear" w:color="000000" w:fill="FFFFFF"/>
            <w:noWrap/>
            <w:vAlign w:val="center"/>
            <w:hideMark/>
          </w:tcPr>
          <w:p w14:paraId="0C43FF1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6,0</w:t>
            </w:r>
          </w:p>
        </w:tc>
        <w:tc>
          <w:tcPr>
            <w:tcW w:w="270" w:type="dxa"/>
            <w:tcBorders>
              <w:top w:val="nil"/>
              <w:left w:val="nil"/>
              <w:bottom w:val="nil"/>
              <w:right w:val="nil"/>
            </w:tcBorders>
            <w:shd w:val="clear" w:color="000000" w:fill="FFFFFF"/>
            <w:noWrap/>
            <w:vAlign w:val="center"/>
            <w:hideMark/>
          </w:tcPr>
          <w:p w14:paraId="279ED394"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132798A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711807D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c>
          <w:tcPr>
            <w:tcW w:w="630" w:type="dxa"/>
            <w:tcBorders>
              <w:top w:val="nil"/>
              <w:left w:val="nil"/>
              <w:bottom w:val="nil"/>
              <w:right w:val="nil"/>
            </w:tcBorders>
            <w:shd w:val="clear" w:color="000000" w:fill="FFFFFF"/>
            <w:noWrap/>
            <w:vAlign w:val="center"/>
            <w:hideMark/>
          </w:tcPr>
          <w:p w14:paraId="41F2E19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41E7AA0A" w14:textId="77777777" w:rsidTr="00C04ADD">
        <w:trPr>
          <w:trHeight w:val="342"/>
        </w:trPr>
        <w:tc>
          <w:tcPr>
            <w:tcW w:w="419" w:type="dxa"/>
            <w:tcBorders>
              <w:top w:val="nil"/>
              <w:left w:val="nil"/>
              <w:bottom w:val="nil"/>
              <w:right w:val="nil"/>
            </w:tcBorders>
            <w:shd w:val="clear" w:color="auto" w:fill="auto"/>
            <w:noWrap/>
            <w:vAlign w:val="center"/>
            <w:hideMark/>
          </w:tcPr>
          <w:p w14:paraId="4DC3B920"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68A1DAE9"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24581821"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Asia meridional</w:t>
            </w:r>
          </w:p>
        </w:tc>
        <w:tc>
          <w:tcPr>
            <w:tcW w:w="720" w:type="dxa"/>
            <w:tcBorders>
              <w:top w:val="nil"/>
              <w:left w:val="nil"/>
              <w:bottom w:val="nil"/>
              <w:right w:val="nil"/>
            </w:tcBorders>
            <w:shd w:val="clear" w:color="000000" w:fill="FFFFFF"/>
            <w:noWrap/>
            <w:vAlign w:val="center"/>
            <w:hideMark/>
          </w:tcPr>
          <w:p w14:paraId="62A26AA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6,7</w:t>
            </w:r>
          </w:p>
        </w:tc>
        <w:tc>
          <w:tcPr>
            <w:tcW w:w="630" w:type="dxa"/>
            <w:tcBorders>
              <w:top w:val="nil"/>
              <w:left w:val="nil"/>
              <w:bottom w:val="nil"/>
              <w:right w:val="nil"/>
            </w:tcBorders>
            <w:shd w:val="clear" w:color="000000" w:fill="FFFFFF"/>
            <w:noWrap/>
            <w:vAlign w:val="center"/>
            <w:hideMark/>
          </w:tcPr>
          <w:p w14:paraId="0BE2592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7,1</w:t>
            </w:r>
          </w:p>
        </w:tc>
        <w:tc>
          <w:tcPr>
            <w:tcW w:w="630" w:type="dxa"/>
            <w:tcBorders>
              <w:top w:val="nil"/>
              <w:left w:val="nil"/>
              <w:bottom w:val="nil"/>
              <w:right w:val="nil"/>
            </w:tcBorders>
            <w:shd w:val="clear" w:color="000000" w:fill="FFFFFF"/>
            <w:noWrap/>
            <w:vAlign w:val="center"/>
            <w:hideMark/>
          </w:tcPr>
          <w:p w14:paraId="0582971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4,9</w:t>
            </w:r>
          </w:p>
        </w:tc>
        <w:tc>
          <w:tcPr>
            <w:tcW w:w="630" w:type="dxa"/>
            <w:tcBorders>
              <w:top w:val="nil"/>
              <w:left w:val="nil"/>
              <w:bottom w:val="nil"/>
              <w:right w:val="nil"/>
            </w:tcBorders>
            <w:shd w:val="clear" w:color="000000" w:fill="FFFFFF"/>
            <w:noWrap/>
            <w:vAlign w:val="center"/>
            <w:hideMark/>
          </w:tcPr>
          <w:p w14:paraId="7DEA2A9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5,5</w:t>
            </w:r>
          </w:p>
        </w:tc>
        <w:tc>
          <w:tcPr>
            <w:tcW w:w="630" w:type="dxa"/>
            <w:tcBorders>
              <w:top w:val="nil"/>
              <w:left w:val="nil"/>
              <w:bottom w:val="nil"/>
              <w:right w:val="nil"/>
            </w:tcBorders>
            <w:shd w:val="clear" w:color="000000" w:fill="FFFFFF"/>
            <w:noWrap/>
            <w:vAlign w:val="center"/>
            <w:hideMark/>
          </w:tcPr>
          <w:p w14:paraId="1B718EC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5,9</w:t>
            </w:r>
          </w:p>
        </w:tc>
        <w:tc>
          <w:tcPr>
            <w:tcW w:w="630" w:type="dxa"/>
            <w:tcBorders>
              <w:top w:val="nil"/>
              <w:left w:val="nil"/>
              <w:bottom w:val="nil"/>
              <w:right w:val="nil"/>
            </w:tcBorders>
            <w:shd w:val="clear" w:color="000000" w:fill="FFFFFF"/>
            <w:noWrap/>
            <w:vAlign w:val="center"/>
            <w:hideMark/>
          </w:tcPr>
          <w:p w14:paraId="6E7FDFC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6,0</w:t>
            </w:r>
          </w:p>
        </w:tc>
        <w:tc>
          <w:tcPr>
            <w:tcW w:w="270" w:type="dxa"/>
            <w:tcBorders>
              <w:top w:val="nil"/>
              <w:left w:val="nil"/>
              <w:bottom w:val="nil"/>
              <w:right w:val="nil"/>
            </w:tcBorders>
            <w:shd w:val="clear" w:color="000000" w:fill="FFFFFF"/>
            <w:noWrap/>
            <w:vAlign w:val="center"/>
            <w:hideMark/>
          </w:tcPr>
          <w:p w14:paraId="3AB8D3EC"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FA6DDA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-2,0</w:t>
            </w:r>
          </w:p>
        </w:tc>
        <w:tc>
          <w:tcPr>
            <w:tcW w:w="630" w:type="dxa"/>
            <w:tcBorders>
              <w:top w:val="nil"/>
              <w:left w:val="nil"/>
              <w:bottom w:val="nil"/>
              <w:right w:val="nil"/>
            </w:tcBorders>
            <w:shd w:val="clear" w:color="000000" w:fill="FFFFFF"/>
            <w:noWrap/>
            <w:vAlign w:val="center"/>
            <w:hideMark/>
          </w:tcPr>
          <w:p w14:paraId="1F9300A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-1,5</w:t>
            </w:r>
          </w:p>
        </w:tc>
        <w:tc>
          <w:tcPr>
            <w:tcW w:w="630" w:type="dxa"/>
            <w:tcBorders>
              <w:top w:val="nil"/>
              <w:left w:val="nil"/>
              <w:bottom w:val="nil"/>
              <w:right w:val="nil"/>
            </w:tcBorders>
            <w:shd w:val="clear" w:color="000000" w:fill="FFFFFF"/>
            <w:noWrap/>
            <w:vAlign w:val="center"/>
            <w:hideMark/>
          </w:tcPr>
          <w:p w14:paraId="658BDE9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-1,2</w:t>
            </w:r>
          </w:p>
        </w:tc>
      </w:tr>
      <w:tr w:rsidR="00C04ADD" w:rsidRPr="00920DA9" w14:paraId="56E00A93" w14:textId="77777777" w:rsidTr="00C04ADD">
        <w:trPr>
          <w:trHeight w:val="342"/>
        </w:trPr>
        <w:tc>
          <w:tcPr>
            <w:tcW w:w="419" w:type="dxa"/>
            <w:tcBorders>
              <w:top w:val="nil"/>
              <w:left w:val="nil"/>
              <w:bottom w:val="nil"/>
              <w:right w:val="nil"/>
            </w:tcBorders>
            <w:shd w:val="clear" w:color="auto" w:fill="auto"/>
            <w:noWrap/>
            <w:vAlign w:val="center"/>
            <w:hideMark/>
          </w:tcPr>
          <w:p w14:paraId="6F731147"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2C6AD438"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195C32E6"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01197122"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India</w:t>
            </w:r>
            <w:r w:rsidRPr="00920DA9">
              <w:rPr>
                <w:color w:val="262626"/>
                <w:sz w:val="18"/>
                <w:szCs w:val="18"/>
                <w:vertAlign w:val="superscript"/>
              </w:rPr>
              <w:t>3</w:t>
            </w:r>
          </w:p>
        </w:tc>
        <w:tc>
          <w:tcPr>
            <w:tcW w:w="720" w:type="dxa"/>
            <w:tcBorders>
              <w:top w:val="nil"/>
              <w:left w:val="nil"/>
              <w:bottom w:val="nil"/>
              <w:right w:val="nil"/>
            </w:tcBorders>
            <w:shd w:val="clear" w:color="000000" w:fill="FFFFFF"/>
            <w:noWrap/>
            <w:vAlign w:val="center"/>
            <w:hideMark/>
          </w:tcPr>
          <w:p w14:paraId="4815D51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7,2</w:t>
            </w:r>
          </w:p>
        </w:tc>
        <w:tc>
          <w:tcPr>
            <w:tcW w:w="630" w:type="dxa"/>
            <w:tcBorders>
              <w:top w:val="nil"/>
              <w:left w:val="nil"/>
              <w:bottom w:val="nil"/>
              <w:right w:val="nil"/>
            </w:tcBorders>
            <w:shd w:val="clear" w:color="000000" w:fill="FFFFFF"/>
            <w:noWrap/>
            <w:vAlign w:val="center"/>
            <w:hideMark/>
          </w:tcPr>
          <w:p w14:paraId="089C552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6,8</w:t>
            </w:r>
          </w:p>
        </w:tc>
        <w:tc>
          <w:tcPr>
            <w:tcW w:w="630" w:type="dxa"/>
            <w:tcBorders>
              <w:top w:val="nil"/>
              <w:left w:val="nil"/>
              <w:bottom w:val="nil"/>
              <w:right w:val="nil"/>
            </w:tcBorders>
            <w:shd w:val="clear" w:color="000000" w:fill="FFFFFF"/>
            <w:noWrap/>
            <w:vAlign w:val="center"/>
            <w:hideMark/>
          </w:tcPr>
          <w:p w14:paraId="707BAC4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5,0</w:t>
            </w:r>
          </w:p>
        </w:tc>
        <w:tc>
          <w:tcPr>
            <w:tcW w:w="630" w:type="dxa"/>
            <w:tcBorders>
              <w:top w:val="nil"/>
              <w:left w:val="nil"/>
              <w:bottom w:val="nil"/>
              <w:right w:val="nil"/>
            </w:tcBorders>
            <w:shd w:val="clear" w:color="000000" w:fill="FFFFFF"/>
            <w:noWrap/>
            <w:vAlign w:val="center"/>
            <w:hideMark/>
          </w:tcPr>
          <w:p w14:paraId="538C39D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5,8</w:t>
            </w:r>
          </w:p>
        </w:tc>
        <w:tc>
          <w:tcPr>
            <w:tcW w:w="630" w:type="dxa"/>
            <w:tcBorders>
              <w:top w:val="nil"/>
              <w:left w:val="nil"/>
              <w:bottom w:val="nil"/>
              <w:right w:val="nil"/>
            </w:tcBorders>
            <w:shd w:val="clear" w:color="000000" w:fill="FFFFFF"/>
            <w:noWrap/>
            <w:vAlign w:val="center"/>
            <w:hideMark/>
          </w:tcPr>
          <w:p w14:paraId="4592D8A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6,1</w:t>
            </w:r>
          </w:p>
        </w:tc>
        <w:tc>
          <w:tcPr>
            <w:tcW w:w="630" w:type="dxa"/>
            <w:tcBorders>
              <w:top w:val="nil"/>
              <w:left w:val="nil"/>
              <w:bottom w:val="nil"/>
              <w:right w:val="nil"/>
            </w:tcBorders>
            <w:shd w:val="clear" w:color="000000" w:fill="FFFFFF"/>
            <w:noWrap/>
            <w:vAlign w:val="center"/>
            <w:hideMark/>
          </w:tcPr>
          <w:p w14:paraId="2D8F1ED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6,1</w:t>
            </w:r>
          </w:p>
        </w:tc>
        <w:tc>
          <w:tcPr>
            <w:tcW w:w="270" w:type="dxa"/>
            <w:tcBorders>
              <w:top w:val="nil"/>
              <w:left w:val="nil"/>
              <w:bottom w:val="nil"/>
              <w:right w:val="nil"/>
            </w:tcBorders>
            <w:shd w:val="clear" w:color="000000" w:fill="FFFFFF"/>
            <w:noWrap/>
            <w:vAlign w:val="center"/>
            <w:hideMark/>
          </w:tcPr>
          <w:p w14:paraId="669F0E92"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7EFEE98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-2,5</w:t>
            </w:r>
          </w:p>
        </w:tc>
        <w:tc>
          <w:tcPr>
            <w:tcW w:w="630" w:type="dxa"/>
            <w:tcBorders>
              <w:top w:val="nil"/>
              <w:left w:val="nil"/>
              <w:bottom w:val="nil"/>
              <w:right w:val="nil"/>
            </w:tcBorders>
            <w:shd w:val="clear" w:color="000000" w:fill="FFFFFF"/>
            <w:noWrap/>
            <w:vAlign w:val="center"/>
            <w:hideMark/>
          </w:tcPr>
          <w:p w14:paraId="1451CED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630" w:type="dxa"/>
            <w:tcBorders>
              <w:top w:val="nil"/>
              <w:left w:val="nil"/>
              <w:bottom w:val="nil"/>
              <w:right w:val="nil"/>
            </w:tcBorders>
            <w:shd w:val="clear" w:color="000000" w:fill="FFFFFF"/>
            <w:noWrap/>
            <w:vAlign w:val="center"/>
            <w:hideMark/>
          </w:tcPr>
          <w:p w14:paraId="2179C0A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-1,4</w:t>
            </w:r>
          </w:p>
        </w:tc>
      </w:tr>
      <w:tr w:rsidR="00C04ADD" w:rsidRPr="00920DA9" w14:paraId="61C53E9A" w14:textId="77777777" w:rsidTr="00C04ADD">
        <w:trPr>
          <w:trHeight w:val="342"/>
        </w:trPr>
        <w:tc>
          <w:tcPr>
            <w:tcW w:w="419" w:type="dxa"/>
            <w:tcBorders>
              <w:top w:val="nil"/>
              <w:left w:val="nil"/>
              <w:bottom w:val="nil"/>
              <w:right w:val="nil"/>
            </w:tcBorders>
            <w:shd w:val="clear" w:color="auto" w:fill="auto"/>
            <w:noWrap/>
            <w:vAlign w:val="center"/>
            <w:hideMark/>
          </w:tcPr>
          <w:p w14:paraId="6C028FAD"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394EDDBA"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219D0868"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20583D79"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Pakistán</w:t>
            </w:r>
            <w:r w:rsidRPr="00920DA9">
              <w:rPr>
                <w:color w:val="262626"/>
                <w:sz w:val="18"/>
                <w:szCs w:val="18"/>
                <w:vertAlign w:val="superscript"/>
              </w:rPr>
              <w:t>2</w:t>
            </w:r>
          </w:p>
        </w:tc>
        <w:tc>
          <w:tcPr>
            <w:tcW w:w="720" w:type="dxa"/>
            <w:tcBorders>
              <w:top w:val="nil"/>
              <w:left w:val="nil"/>
              <w:bottom w:val="nil"/>
              <w:right w:val="nil"/>
            </w:tcBorders>
            <w:shd w:val="clear" w:color="000000" w:fill="FFFFFF"/>
            <w:noWrap/>
            <w:vAlign w:val="center"/>
            <w:hideMark/>
          </w:tcPr>
          <w:p w14:paraId="743B0D9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5,2</w:t>
            </w:r>
          </w:p>
        </w:tc>
        <w:tc>
          <w:tcPr>
            <w:tcW w:w="630" w:type="dxa"/>
            <w:tcBorders>
              <w:top w:val="nil"/>
              <w:left w:val="nil"/>
              <w:bottom w:val="nil"/>
              <w:right w:val="nil"/>
            </w:tcBorders>
            <w:shd w:val="clear" w:color="000000" w:fill="FFFFFF"/>
            <w:noWrap/>
            <w:vAlign w:val="center"/>
            <w:hideMark/>
          </w:tcPr>
          <w:p w14:paraId="18845FE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5,5</w:t>
            </w:r>
          </w:p>
        </w:tc>
        <w:tc>
          <w:tcPr>
            <w:tcW w:w="630" w:type="dxa"/>
            <w:tcBorders>
              <w:top w:val="nil"/>
              <w:left w:val="nil"/>
              <w:bottom w:val="nil"/>
              <w:right w:val="nil"/>
            </w:tcBorders>
            <w:shd w:val="clear" w:color="000000" w:fill="FFFFFF"/>
            <w:noWrap/>
            <w:vAlign w:val="center"/>
            <w:hideMark/>
          </w:tcPr>
          <w:p w14:paraId="295ED2F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3,3</w:t>
            </w:r>
          </w:p>
        </w:tc>
        <w:tc>
          <w:tcPr>
            <w:tcW w:w="630" w:type="dxa"/>
            <w:tcBorders>
              <w:top w:val="nil"/>
              <w:left w:val="nil"/>
              <w:bottom w:val="nil"/>
              <w:right w:val="nil"/>
            </w:tcBorders>
            <w:shd w:val="clear" w:color="000000" w:fill="FFFFFF"/>
            <w:noWrap/>
            <w:vAlign w:val="center"/>
            <w:hideMark/>
          </w:tcPr>
          <w:p w14:paraId="35CF34B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630" w:type="dxa"/>
            <w:tcBorders>
              <w:top w:val="nil"/>
              <w:left w:val="nil"/>
              <w:bottom w:val="nil"/>
              <w:right w:val="nil"/>
            </w:tcBorders>
            <w:shd w:val="clear" w:color="000000" w:fill="FFFFFF"/>
            <w:noWrap/>
            <w:vAlign w:val="center"/>
            <w:hideMark/>
          </w:tcPr>
          <w:p w14:paraId="6926A0D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3,0</w:t>
            </w:r>
          </w:p>
        </w:tc>
        <w:tc>
          <w:tcPr>
            <w:tcW w:w="630" w:type="dxa"/>
            <w:tcBorders>
              <w:top w:val="nil"/>
              <w:left w:val="nil"/>
              <w:bottom w:val="nil"/>
              <w:right w:val="nil"/>
            </w:tcBorders>
            <w:shd w:val="clear" w:color="000000" w:fill="FFFFFF"/>
            <w:noWrap/>
            <w:vAlign w:val="center"/>
            <w:hideMark/>
          </w:tcPr>
          <w:p w14:paraId="09F5D0D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3,9</w:t>
            </w:r>
          </w:p>
        </w:tc>
        <w:tc>
          <w:tcPr>
            <w:tcW w:w="270" w:type="dxa"/>
            <w:tcBorders>
              <w:top w:val="nil"/>
              <w:left w:val="nil"/>
              <w:bottom w:val="nil"/>
              <w:right w:val="nil"/>
            </w:tcBorders>
            <w:shd w:val="clear" w:color="000000" w:fill="FFFFFF"/>
            <w:noWrap/>
            <w:vAlign w:val="center"/>
            <w:hideMark/>
          </w:tcPr>
          <w:p w14:paraId="365AB049"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029BFF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6CB6C36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c>
          <w:tcPr>
            <w:tcW w:w="630" w:type="dxa"/>
            <w:tcBorders>
              <w:top w:val="nil"/>
              <w:left w:val="nil"/>
              <w:bottom w:val="nil"/>
              <w:right w:val="nil"/>
            </w:tcBorders>
            <w:shd w:val="clear" w:color="000000" w:fill="FFFFFF"/>
            <w:noWrap/>
            <w:vAlign w:val="center"/>
            <w:hideMark/>
          </w:tcPr>
          <w:p w14:paraId="3A72D0E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-1,0</w:t>
            </w:r>
          </w:p>
        </w:tc>
      </w:tr>
      <w:tr w:rsidR="00C04ADD" w:rsidRPr="00920DA9" w14:paraId="2670DD62" w14:textId="77777777" w:rsidTr="00C04ADD">
        <w:trPr>
          <w:trHeight w:val="330"/>
        </w:trPr>
        <w:tc>
          <w:tcPr>
            <w:tcW w:w="419" w:type="dxa"/>
            <w:tcBorders>
              <w:top w:val="nil"/>
              <w:left w:val="nil"/>
              <w:bottom w:val="nil"/>
              <w:right w:val="nil"/>
            </w:tcBorders>
            <w:shd w:val="clear" w:color="auto" w:fill="auto"/>
            <w:noWrap/>
            <w:vAlign w:val="center"/>
            <w:hideMark/>
          </w:tcPr>
          <w:p w14:paraId="66FF907B"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7556A628"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183146D1"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35768430"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Bangladesh</w:t>
            </w:r>
            <w:r w:rsidRPr="00920DA9">
              <w:rPr>
                <w:color w:val="262626"/>
                <w:sz w:val="18"/>
                <w:szCs w:val="18"/>
                <w:vertAlign w:val="superscript"/>
              </w:rPr>
              <w:t>2</w:t>
            </w:r>
          </w:p>
        </w:tc>
        <w:tc>
          <w:tcPr>
            <w:tcW w:w="720" w:type="dxa"/>
            <w:tcBorders>
              <w:top w:val="nil"/>
              <w:left w:val="nil"/>
              <w:bottom w:val="nil"/>
              <w:right w:val="nil"/>
            </w:tcBorders>
            <w:shd w:val="clear" w:color="000000" w:fill="FFFFFF"/>
            <w:noWrap/>
            <w:vAlign w:val="center"/>
            <w:hideMark/>
          </w:tcPr>
          <w:p w14:paraId="1EB9EB2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7,3</w:t>
            </w:r>
          </w:p>
        </w:tc>
        <w:tc>
          <w:tcPr>
            <w:tcW w:w="630" w:type="dxa"/>
            <w:tcBorders>
              <w:top w:val="nil"/>
              <w:left w:val="nil"/>
              <w:bottom w:val="nil"/>
              <w:right w:val="nil"/>
            </w:tcBorders>
            <w:shd w:val="clear" w:color="000000" w:fill="FFFFFF"/>
            <w:noWrap/>
            <w:vAlign w:val="center"/>
            <w:hideMark/>
          </w:tcPr>
          <w:p w14:paraId="5D7DDB4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7,9</w:t>
            </w:r>
          </w:p>
        </w:tc>
        <w:tc>
          <w:tcPr>
            <w:tcW w:w="630" w:type="dxa"/>
            <w:tcBorders>
              <w:top w:val="nil"/>
              <w:left w:val="nil"/>
              <w:bottom w:val="nil"/>
              <w:right w:val="nil"/>
            </w:tcBorders>
            <w:shd w:val="clear" w:color="000000" w:fill="FFFFFF"/>
            <w:noWrap/>
            <w:vAlign w:val="center"/>
            <w:hideMark/>
          </w:tcPr>
          <w:p w14:paraId="4051220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8,1</w:t>
            </w:r>
          </w:p>
        </w:tc>
        <w:tc>
          <w:tcPr>
            <w:tcW w:w="630" w:type="dxa"/>
            <w:tcBorders>
              <w:top w:val="nil"/>
              <w:left w:val="nil"/>
              <w:bottom w:val="nil"/>
              <w:right w:val="nil"/>
            </w:tcBorders>
            <w:shd w:val="clear" w:color="000000" w:fill="FFFFFF"/>
            <w:noWrap/>
            <w:vAlign w:val="center"/>
            <w:hideMark/>
          </w:tcPr>
          <w:p w14:paraId="0393697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7,2</w:t>
            </w:r>
          </w:p>
        </w:tc>
        <w:tc>
          <w:tcPr>
            <w:tcW w:w="630" w:type="dxa"/>
            <w:tcBorders>
              <w:top w:val="nil"/>
              <w:left w:val="nil"/>
              <w:bottom w:val="nil"/>
              <w:right w:val="nil"/>
            </w:tcBorders>
            <w:shd w:val="clear" w:color="000000" w:fill="FFFFFF"/>
            <w:noWrap/>
            <w:vAlign w:val="center"/>
            <w:hideMark/>
          </w:tcPr>
          <w:p w14:paraId="4940FA6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7,3</w:t>
            </w:r>
          </w:p>
        </w:tc>
        <w:tc>
          <w:tcPr>
            <w:tcW w:w="630" w:type="dxa"/>
            <w:tcBorders>
              <w:top w:val="nil"/>
              <w:left w:val="nil"/>
              <w:bottom w:val="nil"/>
              <w:right w:val="nil"/>
            </w:tcBorders>
            <w:shd w:val="clear" w:color="000000" w:fill="FFFFFF"/>
            <w:noWrap/>
            <w:vAlign w:val="center"/>
            <w:hideMark/>
          </w:tcPr>
          <w:p w14:paraId="5CD31FE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7,3</w:t>
            </w:r>
          </w:p>
        </w:tc>
        <w:tc>
          <w:tcPr>
            <w:tcW w:w="270" w:type="dxa"/>
            <w:tcBorders>
              <w:top w:val="nil"/>
              <w:left w:val="nil"/>
              <w:bottom w:val="nil"/>
              <w:right w:val="nil"/>
            </w:tcBorders>
            <w:shd w:val="clear" w:color="000000" w:fill="FFFFFF"/>
            <w:noWrap/>
            <w:vAlign w:val="center"/>
            <w:hideMark/>
          </w:tcPr>
          <w:p w14:paraId="2A7BBCA2"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680052E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6F79C07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c>
          <w:tcPr>
            <w:tcW w:w="630" w:type="dxa"/>
            <w:tcBorders>
              <w:top w:val="nil"/>
              <w:left w:val="nil"/>
              <w:bottom w:val="nil"/>
              <w:right w:val="nil"/>
            </w:tcBorders>
            <w:shd w:val="clear" w:color="000000" w:fill="FFFFFF"/>
            <w:noWrap/>
            <w:vAlign w:val="center"/>
            <w:hideMark/>
          </w:tcPr>
          <w:p w14:paraId="2CD9467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0,0</w:t>
            </w:r>
          </w:p>
        </w:tc>
      </w:tr>
      <w:tr w:rsidR="00C04ADD" w:rsidRPr="00920DA9" w14:paraId="2C130D4D" w14:textId="77777777" w:rsidTr="00C04ADD">
        <w:trPr>
          <w:trHeight w:val="330"/>
        </w:trPr>
        <w:tc>
          <w:tcPr>
            <w:tcW w:w="419" w:type="dxa"/>
            <w:tcBorders>
              <w:top w:val="nil"/>
              <w:left w:val="nil"/>
              <w:bottom w:val="nil"/>
              <w:right w:val="nil"/>
            </w:tcBorders>
            <w:shd w:val="clear" w:color="auto" w:fill="auto"/>
            <w:noWrap/>
            <w:vAlign w:val="center"/>
            <w:hideMark/>
          </w:tcPr>
          <w:p w14:paraId="52E9BB23"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6BBD12F1"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4F8C909A"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África al sur del Sahara</w:t>
            </w:r>
          </w:p>
        </w:tc>
        <w:tc>
          <w:tcPr>
            <w:tcW w:w="720" w:type="dxa"/>
            <w:tcBorders>
              <w:top w:val="nil"/>
              <w:left w:val="nil"/>
              <w:bottom w:val="nil"/>
              <w:right w:val="nil"/>
            </w:tcBorders>
            <w:shd w:val="clear" w:color="000000" w:fill="FFFFFF"/>
            <w:noWrap/>
            <w:vAlign w:val="center"/>
            <w:hideMark/>
          </w:tcPr>
          <w:p w14:paraId="5E9430E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2,7</w:t>
            </w:r>
          </w:p>
        </w:tc>
        <w:tc>
          <w:tcPr>
            <w:tcW w:w="630" w:type="dxa"/>
            <w:tcBorders>
              <w:top w:val="nil"/>
              <w:left w:val="nil"/>
              <w:bottom w:val="nil"/>
              <w:right w:val="nil"/>
            </w:tcBorders>
            <w:shd w:val="clear" w:color="000000" w:fill="FFFFFF"/>
            <w:noWrap/>
            <w:vAlign w:val="center"/>
            <w:hideMark/>
          </w:tcPr>
          <w:p w14:paraId="7624AFE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2,6</w:t>
            </w:r>
          </w:p>
        </w:tc>
        <w:tc>
          <w:tcPr>
            <w:tcW w:w="630" w:type="dxa"/>
            <w:tcBorders>
              <w:top w:val="nil"/>
              <w:left w:val="nil"/>
              <w:bottom w:val="nil"/>
              <w:right w:val="nil"/>
            </w:tcBorders>
            <w:shd w:val="clear" w:color="000000" w:fill="FFFFFF"/>
            <w:noWrap/>
            <w:vAlign w:val="center"/>
            <w:hideMark/>
          </w:tcPr>
          <w:p w14:paraId="787E4F7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630" w:type="dxa"/>
            <w:tcBorders>
              <w:top w:val="nil"/>
              <w:left w:val="nil"/>
              <w:bottom w:val="nil"/>
              <w:right w:val="nil"/>
            </w:tcBorders>
            <w:shd w:val="clear" w:color="000000" w:fill="FFFFFF"/>
            <w:noWrap/>
            <w:vAlign w:val="center"/>
            <w:hideMark/>
          </w:tcPr>
          <w:p w14:paraId="20BC95B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2,9</w:t>
            </w:r>
          </w:p>
        </w:tc>
        <w:tc>
          <w:tcPr>
            <w:tcW w:w="630" w:type="dxa"/>
            <w:tcBorders>
              <w:top w:val="nil"/>
              <w:left w:val="nil"/>
              <w:bottom w:val="nil"/>
              <w:right w:val="nil"/>
            </w:tcBorders>
            <w:shd w:val="clear" w:color="000000" w:fill="FFFFFF"/>
            <w:noWrap/>
            <w:vAlign w:val="center"/>
            <w:hideMark/>
          </w:tcPr>
          <w:p w14:paraId="7DC8CB4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3,1</w:t>
            </w:r>
          </w:p>
        </w:tc>
        <w:tc>
          <w:tcPr>
            <w:tcW w:w="630" w:type="dxa"/>
            <w:tcBorders>
              <w:top w:val="nil"/>
              <w:left w:val="nil"/>
              <w:bottom w:val="nil"/>
              <w:right w:val="nil"/>
            </w:tcBorders>
            <w:shd w:val="clear" w:color="000000" w:fill="FFFFFF"/>
            <w:noWrap/>
            <w:vAlign w:val="center"/>
            <w:hideMark/>
          </w:tcPr>
          <w:p w14:paraId="1B2B19F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3,3</w:t>
            </w:r>
          </w:p>
        </w:tc>
        <w:tc>
          <w:tcPr>
            <w:tcW w:w="270" w:type="dxa"/>
            <w:tcBorders>
              <w:top w:val="nil"/>
              <w:left w:val="nil"/>
              <w:bottom w:val="nil"/>
              <w:right w:val="nil"/>
            </w:tcBorders>
            <w:shd w:val="clear" w:color="000000" w:fill="FFFFFF"/>
            <w:noWrap/>
            <w:vAlign w:val="center"/>
            <w:hideMark/>
          </w:tcPr>
          <w:p w14:paraId="5F8F0066"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0C0F3EB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-0,5</w:t>
            </w:r>
          </w:p>
        </w:tc>
        <w:tc>
          <w:tcPr>
            <w:tcW w:w="630" w:type="dxa"/>
            <w:tcBorders>
              <w:top w:val="nil"/>
              <w:left w:val="nil"/>
              <w:bottom w:val="nil"/>
              <w:right w:val="nil"/>
            </w:tcBorders>
            <w:shd w:val="clear" w:color="000000" w:fill="FFFFFF"/>
            <w:noWrap/>
            <w:vAlign w:val="center"/>
            <w:hideMark/>
          </w:tcPr>
          <w:p w14:paraId="3FE4ECE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4C60791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r>
      <w:tr w:rsidR="00C04ADD" w:rsidRPr="00920DA9" w14:paraId="0EABC68D" w14:textId="77777777" w:rsidTr="00C04ADD">
        <w:trPr>
          <w:trHeight w:val="342"/>
        </w:trPr>
        <w:tc>
          <w:tcPr>
            <w:tcW w:w="419" w:type="dxa"/>
            <w:tcBorders>
              <w:top w:val="nil"/>
              <w:left w:val="nil"/>
              <w:bottom w:val="nil"/>
              <w:right w:val="nil"/>
            </w:tcBorders>
            <w:shd w:val="clear" w:color="auto" w:fill="auto"/>
            <w:noWrap/>
            <w:vAlign w:val="center"/>
            <w:hideMark/>
          </w:tcPr>
          <w:p w14:paraId="71F20C8D"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6DD8654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21B2F9FD"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6A2D2F9B"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Nigeria</w:t>
            </w:r>
          </w:p>
        </w:tc>
        <w:tc>
          <w:tcPr>
            <w:tcW w:w="720" w:type="dxa"/>
            <w:tcBorders>
              <w:top w:val="nil"/>
              <w:left w:val="nil"/>
              <w:bottom w:val="nil"/>
              <w:right w:val="nil"/>
            </w:tcBorders>
            <w:shd w:val="clear" w:color="000000" w:fill="FFFFFF"/>
            <w:noWrap/>
            <w:vAlign w:val="center"/>
            <w:hideMark/>
          </w:tcPr>
          <w:p w14:paraId="62883F3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1FED64F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630" w:type="dxa"/>
            <w:tcBorders>
              <w:top w:val="nil"/>
              <w:left w:val="nil"/>
              <w:bottom w:val="nil"/>
              <w:right w:val="nil"/>
            </w:tcBorders>
            <w:shd w:val="clear" w:color="000000" w:fill="FFFFFF"/>
            <w:noWrap/>
            <w:vAlign w:val="center"/>
            <w:hideMark/>
          </w:tcPr>
          <w:p w14:paraId="71471E9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2,0</w:t>
            </w:r>
          </w:p>
        </w:tc>
        <w:tc>
          <w:tcPr>
            <w:tcW w:w="630" w:type="dxa"/>
            <w:tcBorders>
              <w:top w:val="nil"/>
              <w:left w:val="nil"/>
              <w:bottom w:val="nil"/>
              <w:right w:val="nil"/>
            </w:tcBorders>
            <w:shd w:val="clear" w:color="000000" w:fill="FFFFFF"/>
            <w:noWrap/>
            <w:vAlign w:val="center"/>
            <w:hideMark/>
          </w:tcPr>
          <w:p w14:paraId="506E406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2,1</w:t>
            </w:r>
          </w:p>
        </w:tc>
        <w:tc>
          <w:tcPr>
            <w:tcW w:w="630" w:type="dxa"/>
            <w:tcBorders>
              <w:top w:val="nil"/>
              <w:left w:val="nil"/>
              <w:bottom w:val="nil"/>
              <w:right w:val="nil"/>
            </w:tcBorders>
            <w:shd w:val="clear" w:color="000000" w:fill="FFFFFF"/>
            <w:noWrap/>
            <w:vAlign w:val="center"/>
            <w:hideMark/>
          </w:tcPr>
          <w:p w14:paraId="30AA9C3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2,1</w:t>
            </w:r>
          </w:p>
        </w:tc>
        <w:tc>
          <w:tcPr>
            <w:tcW w:w="630" w:type="dxa"/>
            <w:tcBorders>
              <w:top w:val="nil"/>
              <w:left w:val="nil"/>
              <w:bottom w:val="nil"/>
              <w:right w:val="nil"/>
            </w:tcBorders>
            <w:shd w:val="clear" w:color="000000" w:fill="FFFFFF"/>
            <w:noWrap/>
            <w:vAlign w:val="center"/>
            <w:hideMark/>
          </w:tcPr>
          <w:p w14:paraId="1C38E00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2,1</w:t>
            </w:r>
          </w:p>
        </w:tc>
        <w:tc>
          <w:tcPr>
            <w:tcW w:w="270" w:type="dxa"/>
            <w:tcBorders>
              <w:top w:val="nil"/>
              <w:left w:val="nil"/>
              <w:bottom w:val="nil"/>
              <w:right w:val="nil"/>
            </w:tcBorders>
            <w:shd w:val="clear" w:color="000000" w:fill="FFFFFF"/>
            <w:noWrap/>
            <w:vAlign w:val="center"/>
            <w:hideMark/>
          </w:tcPr>
          <w:p w14:paraId="4CF7166D"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3E24420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10066FC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61FBA9B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r>
      <w:tr w:rsidR="00C04ADD" w:rsidRPr="00920DA9" w14:paraId="3756DCC4" w14:textId="77777777" w:rsidTr="00C04ADD">
        <w:trPr>
          <w:trHeight w:val="342"/>
        </w:trPr>
        <w:tc>
          <w:tcPr>
            <w:tcW w:w="419" w:type="dxa"/>
            <w:tcBorders>
              <w:top w:val="nil"/>
              <w:left w:val="nil"/>
              <w:bottom w:val="nil"/>
              <w:right w:val="nil"/>
            </w:tcBorders>
            <w:shd w:val="clear" w:color="auto" w:fill="auto"/>
            <w:noWrap/>
            <w:vAlign w:val="center"/>
            <w:hideMark/>
          </w:tcPr>
          <w:p w14:paraId="6EECD19B"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0E3224F7"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34C0E2BC"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66C71951"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Sudáfrica</w:t>
            </w:r>
          </w:p>
        </w:tc>
        <w:tc>
          <w:tcPr>
            <w:tcW w:w="720" w:type="dxa"/>
            <w:tcBorders>
              <w:top w:val="nil"/>
              <w:left w:val="nil"/>
              <w:bottom w:val="nil"/>
              <w:right w:val="nil"/>
            </w:tcBorders>
            <w:shd w:val="clear" w:color="000000" w:fill="FFFFFF"/>
            <w:noWrap/>
            <w:vAlign w:val="center"/>
            <w:hideMark/>
          </w:tcPr>
          <w:p w14:paraId="7F231C2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1,4</w:t>
            </w:r>
          </w:p>
        </w:tc>
        <w:tc>
          <w:tcPr>
            <w:tcW w:w="630" w:type="dxa"/>
            <w:tcBorders>
              <w:top w:val="nil"/>
              <w:left w:val="nil"/>
              <w:bottom w:val="nil"/>
              <w:right w:val="nil"/>
            </w:tcBorders>
            <w:shd w:val="clear" w:color="000000" w:fill="FFFFFF"/>
            <w:noWrap/>
            <w:vAlign w:val="center"/>
            <w:hideMark/>
          </w:tcPr>
          <w:p w14:paraId="00FBFB4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0,8</w:t>
            </w:r>
          </w:p>
        </w:tc>
        <w:tc>
          <w:tcPr>
            <w:tcW w:w="630" w:type="dxa"/>
            <w:tcBorders>
              <w:top w:val="nil"/>
              <w:left w:val="nil"/>
              <w:bottom w:val="nil"/>
              <w:right w:val="nil"/>
            </w:tcBorders>
            <w:shd w:val="clear" w:color="000000" w:fill="FFFFFF"/>
            <w:noWrap/>
            <w:vAlign w:val="center"/>
            <w:hideMark/>
          </w:tcPr>
          <w:p w14:paraId="5DE4B1F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298CD17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0,9</w:t>
            </w:r>
          </w:p>
        </w:tc>
        <w:tc>
          <w:tcPr>
            <w:tcW w:w="630" w:type="dxa"/>
            <w:tcBorders>
              <w:top w:val="nil"/>
              <w:left w:val="nil"/>
              <w:bottom w:val="nil"/>
              <w:right w:val="nil"/>
            </w:tcBorders>
            <w:shd w:val="clear" w:color="000000" w:fill="FFFFFF"/>
            <w:noWrap/>
            <w:vAlign w:val="center"/>
            <w:hideMark/>
          </w:tcPr>
          <w:p w14:paraId="1A4B802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1,3</w:t>
            </w:r>
          </w:p>
        </w:tc>
        <w:tc>
          <w:tcPr>
            <w:tcW w:w="630" w:type="dxa"/>
            <w:tcBorders>
              <w:top w:val="nil"/>
              <w:left w:val="nil"/>
              <w:bottom w:val="nil"/>
              <w:right w:val="nil"/>
            </w:tcBorders>
            <w:shd w:val="clear" w:color="000000" w:fill="FFFFFF"/>
            <w:noWrap/>
            <w:vAlign w:val="center"/>
            <w:hideMark/>
          </w:tcPr>
          <w:p w14:paraId="5D80BA3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1,5</w:t>
            </w:r>
          </w:p>
        </w:tc>
        <w:tc>
          <w:tcPr>
            <w:tcW w:w="270" w:type="dxa"/>
            <w:tcBorders>
              <w:top w:val="nil"/>
              <w:left w:val="nil"/>
              <w:bottom w:val="nil"/>
              <w:right w:val="nil"/>
            </w:tcBorders>
            <w:shd w:val="clear" w:color="000000" w:fill="FFFFFF"/>
            <w:noWrap/>
            <w:vAlign w:val="center"/>
            <w:hideMark/>
          </w:tcPr>
          <w:p w14:paraId="2E751D49"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DF147A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-0,7</w:t>
            </w:r>
          </w:p>
        </w:tc>
        <w:tc>
          <w:tcPr>
            <w:tcW w:w="630" w:type="dxa"/>
            <w:tcBorders>
              <w:top w:val="nil"/>
              <w:left w:val="nil"/>
              <w:bottom w:val="nil"/>
              <w:right w:val="nil"/>
            </w:tcBorders>
            <w:shd w:val="clear" w:color="000000" w:fill="FFFFFF"/>
            <w:noWrap/>
            <w:vAlign w:val="center"/>
            <w:hideMark/>
          </w:tcPr>
          <w:p w14:paraId="0C57564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-0,6</w:t>
            </w:r>
          </w:p>
        </w:tc>
        <w:tc>
          <w:tcPr>
            <w:tcW w:w="630" w:type="dxa"/>
            <w:tcBorders>
              <w:top w:val="nil"/>
              <w:left w:val="nil"/>
              <w:bottom w:val="nil"/>
              <w:right w:val="nil"/>
            </w:tcBorders>
            <w:shd w:val="clear" w:color="000000" w:fill="FFFFFF"/>
            <w:noWrap/>
            <w:vAlign w:val="center"/>
            <w:hideMark/>
          </w:tcPr>
          <w:p w14:paraId="0D95652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r>
      <w:tr w:rsidR="00C04ADD" w:rsidRPr="00920DA9" w14:paraId="19C02F7C" w14:textId="77777777" w:rsidTr="00C04ADD">
        <w:trPr>
          <w:trHeight w:val="342"/>
        </w:trPr>
        <w:tc>
          <w:tcPr>
            <w:tcW w:w="419" w:type="dxa"/>
            <w:tcBorders>
              <w:top w:val="nil"/>
              <w:left w:val="nil"/>
              <w:bottom w:val="nil"/>
              <w:right w:val="nil"/>
            </w:tcBorders>
            <w:shd w:val="clear" w:color="auto" w:fill="auto"/>
            <w:noWrap/>
            <w:vAlign w:val="center"/>
            <w:hideMark/>
          </w:tcPr>
          <w:p w14:paraId="1A60233F"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7534EBC5"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0A45D423"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33E80806"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Angola</w:t>
            </w:r>
          </w:p>
        </w:tc>
        <w:tc>
          <w:tcPr>
            <w:tcW w:w="720" w:type="dxa"/>
            <w:tcBorders>
              <w:top w:val="nil"/>
              <w:left w:val="nil"/>
              <w:bottom w:val="nil"/>
              <w:right w:val="nil"/>
            </w:tcBorders>
            <w:shd w:val="clear" w:color="000000" w:fill="FFFFFF"/>
            <w:noWrap/>
            <w:vAlign w:val="center"/>
            <w:hideMark/>
          </w:tcPr>
          <w:p w14:paraId="6788A8B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00BC785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-1,2</w:t>
            </w:r>
          </w:p>
        </w:tc>
        <w:tc>
          <w:tcPr>
            <w:tcW w:w="630" w:type="dxa"/>
            <w:tcBorders>
              <w:top w:val="nil"/>
              <w:left w:val="nil"/>
              <w:bottom w:val="nil"/>
              <w:right w:val="nil"/>
            </w:tcBorders>
            <w:shd w:val="clear" w:color="000000" w:fill="FFFFFF"/>
            <w:noWrap/>
            <w:vAlign w:val="center"/>
            <w:hideMark/>
          </w:tcPr>
          <w:p w14:paraId="5960E2D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-0,7</w:t>
            </w:r>
          </w:p>
        </w:tc>
        <w:tc>
          <w:tcPr>
            <w:tcW w:w="630" w:type="dxa"/>
            <w:tcBorders>
              <w:top w:val="nil"/>
              <w:left w:val="nil"/>
              <w:bottom w:val="nil"/>
              <w:right w:val="nil"/>
            </w:tcBorders>
            <w:shd w:val="clear" w:color="000000" w:fill="FFFFFF"/>
            <w:noWrap/>
            <w:vAlign w:val="center"/>
            <w:hideMark/>
          </w:tcPr>
          <w:p w14:paraId="74EA3D8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1,5</w:t>
            </w:r>
          </w:p>
        </w:tc>
        <w:tc>
          <w:tcPr>
            <w:tcW w:w="630" w:type="dxa"/>
            <w:tcBorders>
              <w:top w:val="nil"/>
              <w:left w:val="nil"/>
              <w:bottom w:val="nil"/>
              <w:right w:val="nil"/>
            </w:tcBorders>
            <w:shd w:val="clear" w:color="000000" w:fill="FFFFFF"/>
            <w:noWrap/>
            <w:vAlign w:val="center"/>
            <w:hideMark/>
          </w:tcPr>
          <w:p w14:paraId="59471B9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630" w:type="dxa"/>
            <w:tcBorders>
              <w:top w:val="nil"/>
              <w:left w:val="nil"/>
              <w:bottom w:val="nil"/>
              <w:right w:val="nil"/>
            </w:tcBorders>
            <w:shd w:val="clear" w:color="000000" w:fill="FFFFFF"/>
            <w:noWrap/>
            <w:vAlign w:val="center"/>
            <w:hideMark/>
          </w:tcPr>
          <w:p w14:paraId="17F9541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3,0</w:t>
            </w:r>
          </w:p>
        </w:tc>
        <w:tc>
          <w:tcPr>
            <w:tcW w:w="270" w:type="dxa"/>
            <w:tcBorders>
              <w:top w:val="nil"/>
              <w:left w:val="nil"/>
              <w:bottom w:val="nil"/>
              <w:right w:val="nil"/>
            </w:tcBorders>
            <w:shd w:val="clear" w:color="000000" w:fill="FFFFFF"/>
            <w:noWrap/>
            <w:vAlign w:val="center"/>
            <w:hideMark/>
          </w:tcPr>
          <w:p w14:paraId="531B6B44"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DEEEE0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630" w:type="dxa"/>
            <w:tcBorders>
              <w:top w:val="nil"/>
              <w:left w:val="nil"/>
              <w:bottom w:val="nil"/>
              <w:right w:val="nil"/>
            </w:tcBorders>
            <w:shd w:val="clear" w:color="000000" w:fill="FFFFFF"/>
            <w:noWrap/>
            <w:vAlign w:val="center"/>
            <w:hideMark/>
          </w:tcPr>
          <w:p w14:paraId="322EC36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-1,4</w:t>
            </w:r>
          </w:p>
        </w:tc>
        <w:tc>
          <w:tcPr>
            <w:tcW w:w="630" w:type="dxa"/>
            <w:tcBorders>
              <w:top w:val="nil"/>
              <w:left w:val="nil"/>
              <w:bottom w:val="nil"/>
              <w:right w:val="nil"/>
            </w:tcBorders>
            <w:shd w:val="clear" w:color="000000" w:fill="FFFFFF"/>
            <w:noWrap/>
            <w:vAlign w:val="center"/>
            <w:hideMark/>
          </w:tcPr>
          <w:p w14:paraId="470B5B7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r>
      <w:tr w:rsidR="00C04ADD" w:rsidRPr="00920DA9" w14:paraId="4AE81E70" w14:textId="77777777" w:rsidTr="00C04ADD">
        <w:trPr>
          <w:trHeight w:val="285"/>
        </w:trPr>
        <w:tc>
          <w:tcPr>
            <w:tcW w:w="4050" w:type="dxa"/>
            <w:gridSpan w:val="5"/>
            <w:tcBorders>
              <w:top w:val="nil"/>
              <w:left w:val="nil"/>
              <w:bottom w:val="nil"/>
              <w:right w:val="nil"/>
            </w:tcBorders>
            <w:shd w:val="clear" w:color="auto" w:fill="auto"/>
            <w:noWrap/>
            <w:vAlign w:val="center"/>
            <w:hideMark/>
          </w:tcPr>
          <w:p w14:paraId="7CEA6051" w14:textId="77777777" w:rsidR="00CE4C94" w:rsidRPr="00920DA9" w:rsidRDefault="00CE4C94" w:rsidP="00CE4C94">
            <w:pPr>
              <w:spacing w:after="0" w:line="240" w:lineRule="auto"/>
              <w:ind w:left="0" w:firstLine="0"/>
              <w:rPr>
                <w:rFonts w:eastAsia="Times New Roman"/>
                <w:b/>
                <w:bCs/>
                <w:i/>
                <w:iCs/>
                <w:color w:val="262626"/>
                <w:sz w:val="18"/>
                <w:szCs w:val="18"/>
              </w:rPr>
            </w:pPr>
            <w:r w:rsidRPr="00920DA9">
              <w:rPr>
                <w:b/>
                <w:bCs/>
                <w:i/>
                <w:iCs/>
                <w:color w:val="262626"/>
                <w:sz w:val="18"/>
                <w:szCs w:val="18"/>
              </w:rPr>
              <w:t>Partidas informativas:</w:t>
            </w:r>
          </w:p>
        </w:tc>
        <w:tc>
          <w:tcPr>
            <w:tcW w:w="720" w:type="dxa"/>
            <w:tcBorders>
              <w:top w:val="nil"/>
              <w:left w:val="nil"/>
              <w:bottom w:val="nil"/>
              <w:right w:val="nil"/>
            </w:tcBorders>
            <w:shd w:val="clear" w:color="000000" w:fill="FFFFFF"/>
            <w:noWrap/>
            <w:vAlign w:val="center"/>
            <w:hideMark/>
          </w:tcPr>
          <w:p w14:paraId="467DED1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67FCD03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68CD81E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2EFE9C7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78C6727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702290F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270" w:type="dxa"/>
            <w:tcBorders>
              <w:top w:val="nil"/>
              <w:left w:val="nil"/>
              <w:bottom w:val="nil"/>
              <w:right w:val="nil"/>
            </w:tcBorders>
            <w:shd w:val="clear" w:color="000000" w:fill="FFFFFF"/>
            <w:noWrap/>
            <w:vAlign w:val="center"/>
            <w:hideMark/>
          </w:tcPr>
          <w:p w14:paraId="791FCA5C"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3A3370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3782573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1E58ACC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r>
      <w:tr w:rsidR="00C04ADD" w:rsidRPr="00920DA9" w14:paraId="1D1C39B4" w14:textId="77777777" w:rsidTr="00C04ADD">
        <w:trPr>
          <w:trHeight w:val="345"/>
        </w:trPr>
        <w:tc>
          <w:tcPr>
            <w:tcW w:w="419" w:type="dxa"/>
            <w:tcBorders>
              <w:top w:val="nil"/>
              <w:left w:val="nil"/>
              <w:bottom w:val="nil"/>
              <w:right w:val="nil"/>
            </w:tcBorders>
            <w:shd w:val="clear" w:color="auto" w:fill="auto"/>
            <w:noWrap/>
            <w:vAlign w:val="center"/>
            <w:hideMark/>
          </w:tcPr>
          <w:p w14:paraId="45E47C9D"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3631" w:type="dxa"/>
            <w:gridSpan w:val="4"/>
            <w:tcBorders>
              <w:top w:val="nil"/>
              <w:left w:val="nil"/>
              <w:bottom w:val="nil"/>
              <w:right w:val="nil"/>
            </w:tcBorders>
            <w:shd w:val="clear" w:color="auto" w:fill="auto"/>
            <w:noWrap/>
            <w:vAlign w:val="center"/>
            <w:hideMark/>
          </w:tcPr>
          <w:p w14:paraId="698D6947" w14:textId="77777777" w:rsidR="00CE4C94" w:rsidRPr="00920DA9" w:rsidRDefault="00CE4C94" w:rsidP="00CE4C94">
            <w:pPr>
              <w:spacing w:after="0" w:line="240" w:lineRule="auto"/>
              <w:ind w:left="0" w:firstLine="0"/>
              <w:rPr>
                <w:rFonts w:eastAsia="Times New Roman"/>
                <w:b/>
                <w:bCs/>
                <w:color w:val="262626"/>
                <w:sz w:val="18"/>
                <w:szCs w:val="18"/>
              </w:rPr>
            </w:pPr>
            <w:r w:rsidRPr="00920DA9">
              <w:rPr>
                <w:b/>
                <w:bCs/>
                <w:color w:val="262626"/>
                <w:sz w:val="18"/>
                <w:szCs w:val="18"/>
              </w:rPr>
              <w:t>PIB real</w:t>
            </w:r>
            <w:r w:rsidRPr="00920DA9">
              <w:rPr>
                <w:bCs/>
                <w:color w:val="262626"/>
                <w:sz w:val="18"/>
                <w:szCs w:val="18"/>
                <w:vertAlign w:val="superscript"/>
              </w:rPr>
              <w:t>1</w:t>
            </w:r>
          </w:p>
        </w:tc>
        <w:tc>
          <w:tcPr>
            <w:tcW w:w="720" w:type="dxa"/>
            <w:tcBorders>
              <w:top w:val="nil"/>
              <w:left w:val="nil"/>
              <w:bottom w:val="nil"/>
              <w:right w:val="nil"/>
            </w:tcBorders>
            <w:shd w:val="clear" w:color="000000" w:fill="FFFFFF"/>
            <w:noWrap/>
            <w:vAlign w:val="center"/>
            <w:hideMark/>
          </w:tcPr>
          <w:p w14:paraId="710CA54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0D2C8E0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0150525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0172CFB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2C981EC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62E0FE6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270" w:type="dxa"/>
            <w:tcBorders>
              <w:top w:val="nil"/>
              <w:left w:val="nil"/>
              <w:bottom w:val="nil"/>
              <w:right w:val="nil"/>
            </w:tcBorders>
            <w:shd w:val="clear" w:color="000000" w:fill="FFFFFF"/>
            <w:noWrap/>
            <w:vAlign w:val="center"/>
            <w:hideMark/>
          </w:tcPr>
          <w:p w14:paraId="6C8CCBFC"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707A6FC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241F924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6A3C0F1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r>
      <w:tr w:rsidR="00C04ADD" w:rsidRPr="00920DA9" w14:paraId="731D7716" w14:textId="77777777" w:rsidTr="00C04ADD">
        <w:trPr>
          <w:trHeight w:val="342"/>
        </w:trPr>
        <w:tc>
          <w:tcPr>
            <w:tcW w:w="419" w:type="dxa"/>
            <w:tcBorders>
              <w:top w:val="nil"/>
              <w:left w:val="nil"/>
              <w:bottom w:val="nil"/>
              <w:right w:val="nil"/>
            </w:tcBorders>
            <w:shd w:val="clear" w:color="auto" w:fill="auto"/>
            <w:noWrap/>
            <w:vAlign w:val="center"/>
            <w:hideMark/>
          </w:tcPr>
          <w:p w14:paraId="5EDE7F63"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18C9E05E"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13B1431A"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Países de ingreso alto</w:t>
            </w:r>
          </w:p>
        </w:tc>
        <w:tc>
          <w:tcPr>
            <w:tcW w:w="720" w:type="dxa"/>
            <w:tcBorders>
              <w:top w:val="nil"/>
              <w:left w:val="nil"/>
              <w:bottom w:val="nil"/>
              <w:right w:val="nil"/>
            </w:tcBorders>
            <w:shd w:val="clear" w:color="000000" w:fill="FFFFFF"/>
            <w:noWrap/>
            <w:vAlign w:val="center"/>
            <w:hideMark/>
          </w:tcPr>
          <w:p w14:paraId="126804D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2,4</w:t>
            </w:r>
          </w:p>
        </w:tc>
        <w:tc>
          <w:tcPr>
            <w:tcW w:w="630" w:type="dxa"/>
            <w:tcBorders>
              <w:top w:val="nil"/>
              <w:left w:val="nil"/>
              <w:bottom w:val="nil"/>
              <w:right w:val="nil"/>
            </w:tcBorders>
            <w:shd w:val="clear" w:color="000000" w:fill="FFFFFF"/>
            <w:noWrap/>
            <w:vAlign w:val="center"/>
            <w:hideMark/>
          </w:tcPr>
          <w:p w14:paraId="3B8DFE5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2,2</w:t>
            </w:r>
          </w:p>
        </w:tc>
        <w:tc>
          <w:tcPr>
            <w:tcW w:w="630" w:type="dxa"/>
            <w:tcBorders>
              <w:top w:val="nil"/>
              <w:left w:val="nil"/>
              <w:bottom w:val="nil"/>
              <w:right w:val="nil"/>
            </w:tcBorders>
            <w:shd w:val="clear" w:color="000000" w:fill="FFFFFF"/>
            <w:noWrap/>
            <w:vAlign w:val="center"/>
            <w:hideMark/>
          </w:tcPr>
          <w:p w14:paraId="516290A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630" w:type="dxa"/>
            <w:tcBorders>
              <w:top w:val="nil"/>
              <w:left w:val="nil"/>
              <w:bottom w:val="nil"/>
              <w:right w:val="nil"/>
            </w:tcBorders>
            <w:shd w:val="clear" w:color="000000" w:fill="FFFFFF"/>
            <w:noWrap/>
            <w:vAlign w:val="center"/>
            <w:hideMark/>
          </w:tcPr>
          <w:p w14:paraId="4D54B3C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1,5</w:t>
            </w:r>
          </w:p>
        </w:tc>
        <w:tc>
          <w:tcPr>
            <w:tcW w:w="630" w:type="dxa"/>
            <w:tcBorders>
              <w:top w:val="nil"/>
              <w:left w:val="nil"/>
              <w:bottom w:val="nil"/>
              <w:right w:val="nil"/>
            </w:tcBorders>
            <w:shd w:val="clear" w:color="000000" w:fill="FFFFFF"/>
            <w:noWrap/>
            <w:vAlign w:val="center"/>
            <w:hideMark/>
          </w:tcPr>
          <w:p w14:paraId="4581DA5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1,5</w:t>
            </w:r>
          </w:p>
        </w:tc>
        <w:tc>
          <w:tcPr>
            <w:tcW w:w="630" w:type="dxa"/>
            <w:tcBorders>
              <w:top w:val="nil"/>
              <w:left w:val="nil"/>
              <w:bottom w:val="nil"/>
              <w:right w:val="nil"/>
            </w:tcBorders>
            <w:shd w:val="clear" w:color="000000" w:fill="FFFFFF"/>
            <w:noWrap/>
            <w:vAlign w:val="center"/>
            <w:hideMark/>
          </w:tcPr>
          <w:p w14:paraId="21A14D6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1,6</w:t>
            </w:r>
          </w:p>
        </w:tc>
        <w:tc>
          <w:tcPr>
            <w:tcW w:w="270" w:type="dxa"/>
            <w:tcBorders>
              <w:top w:val="nil"/>
              <w:left w:val="nil"/>
              <w:bottom w:val="nil"/>
              <w:right w:val="nil"/>
            </w:tcBorders>
            <w:shd w:val="clear" w:color="000000" w:fill="FFFFFF"/>
            <w:noWrap/>
            <w:vAlign w:val="center"/>
            <w:hideMark/>
          </w:tcPr>
          <w:p w14:paraId="4422A163"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7F96254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3E22397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420273B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r>
      <w:tr w:rsidR="00C04ADD" w:rsidRPr="00920DA9" w14:paraId="1D76F637" w14:textId="77777777" w:rsidTr="00C04ADD">
        <w:trPr>
          <w:trHeight w:val="342"/>
        </w:trPr>
        <w:tc>
          <w:tcPr>
            <w:tcW w:w="419" w:type="dxa"/>
            <w:tcBorders>
              <w:top w:val="nil"/>
              <w:left w:val="nil"/>
              <w:bottom w:val="nil"/>
              <w:right w:val="nil"/>
            </w:tcBorders>
            <w:shd w:val="clear" w:color="auto" w:fill="auto"/>
            <w:noWrap/>
            <w:vAlign w:val="center"/>
            <w:hideMark/>
          </w:tcPr>
          <w:p w14:paraId="4C6E77C2"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44F5358D"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0E144787"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Países en desarrollo</w:t>
            </w:r>
          </w:p>
        </w:tc>
        <w:tc>
          <w:tcPr>
            <w:tcW w:w="720" w:type="dxa"/>
            <w:tcBorders>
              <w:top w:val="nil"/>
              <w:left w:val="nil"/>
              <w:bottom w:val="nil"/>
              <w:right w:val="nil"/>
            </w:tcBorders>
            <w:shd w:val="clear" w:color="000000" w:fill="FFFFFF"/>
            <w:noWrap/>
            <w:vAlign w:val="center"/>
            <w:hideMark/>
          </w:tcPr>
          <w:p w14:paraId="3B08CFB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4,8</w:t>
            </w:r>
          </w:p>
        </w:tc>
        <w:tc>
          <w:tcPr>
            <w:tcW w:w="630" w:type="dxa"/>
            <w:tcBorders>
              <w:top w:val="nil"/>
              <w:left w:val="nil"/>
              <w:bottom w:val="nil"/>
              <w:right w:val="nil"/>
            </w:tcBorders>
            <w:shd w:val="clear" w:color="000000" w:fill="FFFFFF"/>
            <w:noWrap/>
            <w:vAlign w:val="center"/>
            <w:hideMark/>
          </w:tcPr>
          <w:p w14:paraId="5C14CEB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4,4</w:t>
            </w:r>
          </w:p>
        </w:tc>
        <w:tc>
          <w:tcPr>
            <w:tcW w:w="630" w:type="dxa"/>
            <w:tcBorders>
              <w:top w:val="nil"/>
              <w:left w:val="nil"/>
              <w:bottom w:val="nil"/>
              <w:right w:val="nil"/>
            </w:tcBorders>
            <w:shd w:val="clear" w:color="000000" w:fill="FFFFFF"/>
            <w:noWrap/>
            <w:vAlign w:val="center"/>
            <w:hideMark/>
          </w:tcPr>
          <w:p w14:paraId="254AD6F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3,7</w:t>
            </w:r>
          </w:p>
        </w:tc>
        <w:tc>
          <w:tcPr>
            <w:tcW w:w="630" w:type="dxa"/>
            <w:tcBorders>
              <w:top w:val="nil"/>
              <w:left w:val="nil"/>
              <w:bottom w:val="nil"/>
              <w:right w:val="nil"/>
            </w:tcBorders>
            <w:shd w:val="clear" w:color="000000" w:fill="FFFFFF"/>
            <w:noWrap/>
            <w:vAlign w:val="center"/>
            <w:hideMark/>
          </w:tcPr>
          <w:p w14:paraId="43247F3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4,3</w:t>
            </w:r>
          </w:p>
        </w:tc>
        <w:tc>
          <w:tcPr>
            <w:tcW w:w="630" w:type="dxa"/>
            <w:tcBorders>
              <w:top w:val="nil"/>
              <w:left w:val="nil"/>
              <w:bottom w:val="nil"/>
              <w:right w:val="nil"/>
            </w:tcBorders>
            <w:shd w:val="clear" w:color="000000" w:fill="FFFFFF"/>
            <w:noWrap/>
            <w:vAlign w:val="center"/>
            <w:hideMark/>
          </w:tcPr>
          <w:p w14:paraId="6A314C8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4,5</w:t>
            </w:r>
          </w:p>
        </w:tc>
        <w:tc>
          <w:tcPr>
            <w:tcW w:w="630" w:type="dxa"/>
            <w:tcBorders>
              <w:top w:val="nil"/>
              <w:left w:val="nil"/>
              <w:bottom w:val="nil"/>
              <w:right w:val="nil"/>
            </w:tcBorders>
            <w:shd w:val="clear" w:color="000000" w:fill="FFFFFF"/>
            <w:noWrap/>
            <w:vAlign w:val="center"/>
            <w:hideMark/>
          </w:tcPr>
          <w:p w14:paraId="0050BD7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4,5</w:t>
            </w:r>
          </w:p>
        </w:tc>
        <w:tc>
          <w:tcPr>
            <w:tcW w:w="270" w:type="dxa"/>
            <w:tcBorders>
              <w:top w:val="nil"/>
              <w:left w:val="nil"/>
              <w:bottom w:val="nil"/>
              <w:right w:val="nil"/>
            </w:tcBorders>
            <w:shd w:val="clear" w:color="000000" w:fill="FFFFFF"/>
            <w:noWrap/>
            <w:vAlign w:val="center"/>
            <w:hideMark/>
          </w:tcPr>
          <w:p w14:paraId="348063F4"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3C87618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30B66B9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614B368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r>
      <w:tr w:rsidR="00C04ADD" w:rsidRPr="00920DA9" w14:paraId="26D82AEA" w14:textId="77777777" w:rsidTr="00C04ADD">
        <w:trPr>
          <w:trHeight w:val="342"/>
        </w:trPr>
        <w:tc>
          <w:tcPr>
            <w:tcW w:w="419" w:type="dxa"/>
            <w:tcBorders>
              <w:top w:val="nil"/>
              <w:left w:val="nil"/>
              <w:bottom w:val="nil"/>
              <w:right w:val="nil"/>
            </w:tcBorders>
            <w:shd w:val="clear" w:color="auto" w:fill="auto"/>
            <w:noWrap/>
            <w:vAlign w:val="center"/>
            <w:hideMark/>
          </w:tcPr>
          <w:p w14:paraId="77D05F6A"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0FE951A2"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614" w:type="dxa"/>
            <w:tcBorders>
              <w:top w:val="nil"/>
              <w:left w:val="nil"/>
              <w:bottom w:val="nil"/>
              <w:right w:val="nil"/>
            </w:tcBorders>
            <w:shd w:val="clear" w:color="auto" w:fill="auto"/>
            <w:noWrap/>
            <w:vAlign w:val="center"/>
            <w:hideMark/>
          </w:tcPr>
          <w:p w14:paraId="04ED6B87"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2466" w:type="dxa"/>
            <w:gridSpan w:val="2"/>
            <w:tcBorders>
              <w:top w:val="nil"/>
              <w:left w:val="nil"/>
              <w:bottom w:val="nil"/>
              <w:right w:val="nil"/>
            </w:tcBorders>
            <w:shd w:val="clear" w:color="auto" w:fill="auto"/>
            <w:noWrap/>
            <w:vAlign w:val="center"/>
            <w:hideMark/>
          </w:tcPr>
          <w:p w14:paraId="2342CBF3"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Países de ingreso bajo</w:t>
            </w:r>
          </w:p>
        </w:tc>
        <w:tc>
          <w:tcPr>
            <w:tcW w:w="720" w:type="dxa"/>
            <w:tcBorders>
              <w:top w:val="nil"/>
              <w:left w:val="nil"/>
              <w:bottom w:val="nil"/>
              <w:right w:val="nil"/>
            </w:tcBorders>
            <w:shd w:val="clear" w:color="000000" w:fill="FFFFFF"/>
            <w:noWrap/>
            <w:vAlign w:val="center"/>
            <w:hideMark/>
          </w:tcPr>
          <w:p w14:paraId="5496DBB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5,5</w:t>
            </w:r>
          </w:p>
        </w:tc>
        <w:tc>
          <w:tcPr>
            <w:tcW w:w="630" w:type="dxa"/>
            <w:tcBorders>
              <w:top w:val="nil"/>
              <w:left w:val="nil"/>
              <w:bottom w:val="nil"/>
              <w:right w:val="nil"/>
            </w:tcBorders>
            <w:shd w:val="clear" w:color="000000" w:fill="FFFFFF"/>
            <w:noWrap/>
            <w:vAlign w:val="center"/>
            <w:hideMark/>
          </w:tcPr>
          <w:p w14:paraId="3A776B9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5,8</w:t>
            </w:r>
          </w:p>
        </w:tc>
        <w:tc>
          <w:tcPr>
            <w:tcW w:w="630" w:type="dxa"/>
            <w:tcBorders>
              <w:top w:val="nil"/>
              <w:left w:val="nil"/>
              <w:bottom w:val="nil"/>
              <w:right w:val="nil"/>
            </w:tcBorders>
            <w:shd w:val="clear" w:color="000000" w:fill="FFFFFF"/>
            <w:noWrap/>
            <w:vAlign w:val="center"/>
            <w:hideMark/>
          </w:tcPr>
          <w:p w14:paraId="126792F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5,4</w:t>
            </w:r>
          </w:p>
        </w:tc>
        <w:tc>
          <w:tcPr>
            <w:tcW w:w="630" w:type="dxa"/>
            <w:tcBorders>
              <w:top w:val="nil"/>
              <w:left w:val="nil"/>
              <w:bottom w:val="nil"/>
              <w:right w:val="nil"/>
            </w:tcBorders>
            <w:shd w:val="clear" w:color="000000" w:fill="FFFFFF"/>
            <w:noWrap/>
            <w:vAlign w:val="center"/>
            <w:hideMark/>
          </w:tcPr>
          <w:p w14:paraId="2A7CF08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5,4</w:t>
            </w:r>
          </w:p>
        </w:tc>
        <w:tc>
          <w:tcPr>
            <w:tcW w:w="630" w:type="dxa"/>
            <w:tcBorders>
              <w:top w:val="nil"/>
              <w:left w:val="nil"/>
              <w:bottom w:val="nil"/>
              <w:right w:val="nil"/>
            </w:tcBorders>
            <w:shd w:val="clear" w:color="000000" w:fill="FFFFFF"/>
            <w:noWrap/>
            <w:vAlign w:val="center"/>
            <w:hideMark/>
          </w:tcPr>
          <w:p w14:paraId="1624681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5,5</w:t>
            </w:r>
          </w:p>
        </w:tc>
        <w:tc>
          <w:tcPr>
            <w:tcW w:w="630" w:type="dxa"/>
            <w:tcBorders>
              <w:top w:val="nil"/>
              <w:left w:val="nil"/>
              <w:bottom w:val="nil"/>
              <w:right w:val="nil"/>
            </w:tcBorders>
            <w:shd w:val="clear" w:color="000000" w:fill="FFFFFF"/>
            <w:noWrap/>
            <w:vAlign w:val="center"/>
            <w:hideMark/>
          </w:tcPr>
          <w:p w14:paraId="0DBA66F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5,8</w:t>
            </w:r>
          </w:p>
        </w:tc>
        <w:tc>
          <w:tcPr>
            <w:tcW w:w="270" w:type="dxa"/>
            <w:tcBorders>
              <w:top w:val="nil"/>
              <w:left w:val="nil"/>
              <w:bottom w:val="nil"/>
              <w:right w:val="nil"/>
            </w:tcBorders>
            <w:shd w:val="clear" w:color="000000" w:fill="FFFFFF"/>
            <w:noWrap/>
            <w:vAlign w:val="center"/>
            <w:hideMark/>
          </w:tcPr>
          <w:p w14:paraId="430DE4EE"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0714635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c>
          <w:tcPr>
            <w:tcW w:w="630" w:type="dxa"/>
            <w:tcBorders>
              <w:top w:val="nil"/>
              <w:left w:val="nil"/>
              <w:bottom w:val="nil"/>
              <w:right w:val="nil"/>
            </w:tcBorders>
            <w:shd w:val="clear" w:color="000000" w:fill="FFFFFF"/>
            <w:noWrap/>
            <w:vAlign w:val="center"/>
            <w:hideMark/>
          </w:tcPr>
          <w:p w14:paraId="3432E0A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-0,6</w:t>
            </w:r>
          </w:p>
        </w:tc>
        <w:tc>
          <w:tcPr>
            <w:tcW w:w="630" w:type="dxa"/>
            <w:tcBorders>
              <w:top w:val="nil"/>
              <w:left w:val="nil"/>
              <w:bottom w:val="nil"/>
              <w:right w:val="nil"/>
            </w:tcBorders>
            <w:shd w:val="clear" w:color="000000" w:fill="FFFFFF"/>
            <w:noWrap/>
            <w:vAlign w:val="center"/>
            <w:hideMark/>
          </w:tcPr>
          <w:p w14:paraId="1EE0884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-0,6</w:t>
            </w:r>
          </w:p>
        </w:tc>
      </w:tr>
      <w:tr w:rsidR="00C04ADD" w:rsidRPr="00920DA9" w14:paraId="0491525C" w14:textId="77777777" w:rsidTr="00C04ADD">
        <w:trPr>
          <w:trHeight w:val="342"/>
        </w:trPr>
        <w:tc>
          <w:tcPr>
            <w:tcW w:w="419" w:type="dxa"/>
            <w:tcBorders>
              <w:top w:val="nil"/>
              <w:left w:val="nil"/>
              <w:bottom w:val="nil"/>
              <w:right w:val="nil"/>
            </w:tcBorders>
            <w:shd w:val="clear" w:color="auto" w:fill="auto"/>
            <w:noWrap/>
            <w:vAlign w:val="center"/>
            <w:hideMark/>
          </w:tcPr>
          <w:p w14:paraId="4DF30BCE"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0018AB8A"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4D798E78"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BRICS</w:t>
            </w:r>
          </w:p>
        </w:tc>
        <w:tc>
          <w:tcPr>
            <w:tcW w:w="720" w:type="dxa"/>
            <w:tcBorders>
              <w:top w:val="nil"/>
              <w:left w:val="nil"/>
              <w:bottom w:val="nil"/>
              <w:right w:val="nil"/>
            </w:tcBorders>
            <w:shd w:val="clear" w:color="000000" w:fill="FFFFFF"/>
            <w:noWrap/>
            <w:vAlign w:val="center"/>
            <w:hideMark/>
          </w:tcPr>
          <w:p w14:paraId="4B5B7A6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5,3</w:t>
            </w:r>
          </w:p>
        </w:tc>
        <w:tc>
          <w:tcPr>
            <w:tcW w:w="630" w:type="dxa"/>
            <w:tcBorders>
              <w:top w:val="nil"/>
              <w:left w:val="nil"/>
              <w:bottom w:val="nil"/>
              <w:right w:val="nil"/>
            </w:tcBorders>
            <w:shd w:val="clear" w:color="000000" w:fill="FFFFFF"/>
            <w:noWrap/>
            <w:vAlign w:val="center"/>
            <w:hideMark/>
          </w:tcPr>
          <w:p w14:paraId="0F7446C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5,4</w:t>
            </w:r>
          </w:p>
        </w:tc>
        <w:tc>
          <w:tcPr>
            <w:tcW w:w="630" w:type="dxa"/>
            <w:tcBorders>
              <w:top w:val="nil"/>
              <w:left w:val="nil"/>
              <w:bottom w:val="nil"/>
              <w:right w:val="nil"/>
            </w:tcBorders>
            <w:shd w:val="clear" w:color="000000" w:fill="FFFFFF"/>
            <w:noWrap/>
            <w:vAlign w:val="center"/>
            <w:hideMark/>
          </w:tcPr>
          <w:p w14:paraId="7ACBBC9E"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4,6</w:t>
            </w:r>
          </w:p>
        </w:tc>
        <w:tc>
          <w:tcPr>
            <w:tcW w:w="630" w:type="dxa"/>
            <w:tcBorders>
              <w:top w:val="nil"/>
              <w:left w:val="nil"/>
              <w:bottom w:val="nil"/>
              <w:right w:val="nil"/>
            </w:tcBorders>
            <w:shd w:val="clear" w:color="000000" w:fill="FFFFFF"/>
            <w:noWrap/>
            <w:vAlign w:val="center"/>
            <w:hideMark/>
          </w:tcPr>
          <w:p w14:paraId="750FFD6B" w14:textId="0895E01D"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w:t>
            </w:r>
            <w:r w:rsidR="00237CD9" w:rsidRPr="00920DA9">
              <w:rPr>
                <w:color w:val="262626"/>
                <w:sz w:val="18"/>
                <w:szCs w:val="18"/>
              </w:rPr>
              <w:t>9</w:t>
            </w:r>
          </w:p>
        </w:tc>
        <w:tc>
          <w:tcPr>
            <w:tcW w:w="630" w:type="dxa"/>
            <w:tcBorders>
              <w:top w:val="nil"/>
              <w:left w:val="nil"/>
              <w:bottom w:val="nil"/>
              <w:right w:val="nil"/>
            </w:tcBorders>
            <w:shd w:val="clear" w:color="000000" w:fill="FFFFFF"/>
            <w:noWrap/>
            <w:vAlign w:val="center"/>
            <w:hideMark/>
          </w:tcPr>
          <w:p w14:paraId="0179F42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4,9</w:t>
            </w:r>
          </w:p>
        </w:tc>
        <w:tc>
          <w:tcPr>
            <w:tcW w:w="630" w:type="dxa"/>
            <w:tcBorders>
              <w:top w:val="nil"/>
              <w:left w:val="nil"/>
              <w:bottom w:val="nil"/>
              <w:right w:val="nil"/>
            </w:tcBorders>
            <w:shd w:val="clear" w:color="000000" w:fill="FFFFFF"/>
            <w:noWrap/>
            <w:vAlign w:val="center"/>
            <w:hideMark/>
          </w:tcPr>
          <w:p w14:paraId="3E991107" w14:textId="4CDEB40C" w:rsidR="00CE4C94" w:rsidRPr="00920DA9" w:rsidRDefault="00237CD9" w:rsidP="00CE4C94">
            <w:pPr>
              <w:spacing w:after="0" w:line="240" w:lineRule="auto"/>
              <w:ind w:left="0" w:firstLine="0"/>
              <w:jc w:val="center"/>
              <w:rPr>
                <w:rFonts w:eastAsia="Times New Roman"/>
                <w:color w:val="262626"/>
                <w:sz w:val="18"/>
                <w:szCs w:val="18"/>
              </w:rPr>
            </w:pPr>
            <w:r w:rsidRPr="00920DA9">
              <w:rPr>
                <w:color w:val="262626"/>
                <w:sz w:val="18"/>
                <w:szCs w:val="18"/>
              </w:rPr>
              <w:t>5,0</w:t>
            </w:r>
          </w:p>
        </w:tc>
        <w:tc>
          <w:tcPr>
            <w:tcW w:w="270" w:type="dxa"/>
            <w:tcBorders>
              <w:top w:val="nil"/>
              <w:left w:val="nil"/>
              <w:bottom w:val="nil"/>
              <w:right w:val="nil"/>
            </w:tcBorders>
            <w:shd w:val="clear" w:color="000000" w:fill="FFFFFF"/>
            <w:noWrap/>
            <w:vAlign w:val="center"/>
            <w:hideMark/>
          </w:tcPr>
          <w:p w14:paraId="112F199B"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6F6090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-0,5</w:t>
            </w:r>
          </w:p>
        </w:tc>
        <w:tc>
          <w:tcPr>
            <w:tcW w:w="630" w:type="dxa"/>
            <w:tcBorders>
              <w:top w:val="nil"/>
              <w:left w:val="nil"/>
              <w:bottom w:val="nil"/>
              <w:right w:val="nil"/>
            </w:tcBorders>
            <w:shd w:val="clear" w:color="000000" w:fill="FFFFFF"/>
            <w:noWrap/>
            <w:vAlign w:val="center"/>
            <w:hideMark/>
          </w:tcPr>
          <w:p w14:paraId="37C43FF5" w14:textId="2D70FC36"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w:t>
            </w:r>
            <w:r w:rsidR="00237CD9" w:rsidRPr="00920DA9">
              <w:rPr>
                <w:color w:val="262626"/>
                <w:sz w:val="18"/>
                <w:szCs w:val="18"/>
              </w:rPr>
              <w:t>4</w:t>
            </w:r>
          </w:p>
        </w:tc>
        <w:tc>
          <w:tcPr>
            <w:tcW w:w="630" w:type="dxa"/>
            <w:tcBorders>
              <w:top w:val="nil"/>
              <w:left w:val="nil"/>
              <w:bottom w:val="nil"/>
              <w:right w:val="nil"/>
            </w:tcBorders>
            <w:shd w:val="clear" w:color="000000" w:fill="FFFFFF"/>
            <w:noWrap/>
            <w:vAlign w:val="center"/>
            <w:hideMark/>
          </w:tcPr>
          <w:p w14:paraId="7ED6769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r>
      <w:tr w:rsidR="00C04ADD" w:rsidRPr="00920DA9" w14:paraId="41767920" w14:textId="77777777" w:rsidTr="00C04ADD">
        <w:trPr>
          <w:trHeight w:val="342"/>
        </w:trPr>
        <w:tc>
          <w:tcPr>
            <w:tcW w:w="419" w:type="dxa"/>
            <w:tcBorders>
              <w:top w:val="nil"/>
              <w:left w:val="nil"/>
              <w:bottom w:val="nil"/>
              <w:right w:val="nil"/>
            </w:tcBorders>
            <w:shd w:val="clear" w:color="auto" w:fill="auto"/>
            <w:noWrap/>
            <w:vAlign w:val="center"/>
            <w:hideMark/>
          </w:tcPr>
          <w:p w14:paraId="5611477F"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6FF0B630"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008A5497"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Todo el mundo (ponderaciones basadas en la PPA de 2010)</w:t>
            </w:r>
          </w:p>
        </w:tc>
        <w:tc>
          <w:tcPr>
            <w:tcW w:w="720" w:type="dxa"/>
            <w:tcBorders>
              <w:top w:val="nil"/>
              <w:left w:val="nil"/>
              <w:bottom w:val="nil"/>
              <w:right w:val="nil"/>
            </w:tcBorders>
            <w:shd w:val="clear" w:color="000000" w:fill="FFFFFF"/>
            <w:noWrap/>
            <w:vAlign w:val="center"/>
            <w:hideMark/>
          </w:tcPr>
          <w:p w14:paraId="55DBCFC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3,9</w:t>
            </w:r>
          </w:p>
        </w:tc>
        <w:tc>
          <w:tcPr>
            <w:tcW w:w="630" w:type="dxa"/>
            <w:tcBorders>
              <w:top w:val="nil"/>
              <w:left w:val="nil"/>
              <w:bottom w:val="nil"/>
              <w:right w:val="nil"/>
            </w:tcBorders>
            <w:shd w:val="clear" w:color="000000" w:fill="FFFFFF"/>
            <w:noWrap/>
            <w:vAlign w:val="center"/>
            <w:hideMark/>
          </w:tcPr>
          <w:p w14:paraId="6CBF554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3,7</w:t>
            </w:r>
          </w:p>
        </w:tc>
        <w:tc>
          <w:tcPr>
            <w:tcW w:w="630" w:type="dxa"/>
            <w:tcBorders>
              <w:top w:val="nil"/>
              <w:left w:val="nil"/>
              <w:bottom w:val="nil"/>
              <w:right w:val="nil"/>
            </w:tcBorders>
            <w:shd w:val="clear" w:color="000000" w:fill="FFFFFF"/>
            <w:noWrap/>
            <w:vAlign w:val="center"/>
            <w:hideMark/>
          </w:tcPr>
          <w:p w14:paraId="03380C8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2,9</w:t>
            </w:r>
          </w:p>
        </w:tc>
        <w:tc>
          <w:tcPr>
            <w:tcW w:w="630" w:type="dxa"/>
            <w:tcBorders>
              <w:top w:val="nil"/>
              <w:left w:val="nil"/>
              <w:bottom w:val="nil"/>
              <w:right w:val="nil"/>
            </w:tcBorders>
            <w:shd w:val="clear" w:color="000000" w:fill="FFFFFF"/>
            <w:noWrap/>
            <w:vAlign w:val="center"/>
            <w:hideMark/>
          </w:tcPr>
          <w:p w14:paraId="1845F25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3,2</w:t>
            </w:r>
          </w:p>
        </w:tc>
        <w:tc>
          <w:tcPr>
            <w:tcW w:w="630" w:type="dxa"/>
            <w:tcBorders>
              <w:top w:val="nil"/>
              <w:left w:val="nil"/>
              <w:bottom w:val="nil"/>
              <w:right w:val="nil"/>
            </w:tcBorders>
            <w:shd w:val="clear" w:color="000000" w:fill="FFFFFF"/>
            <w:noWrap/>
            <w:vAlign w:val="center"/>
            <w:hideMark/>
          </w:tcPr>
          <w:p w14:paraId="4E6F804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3,3</w:t>
            </w:r>
          </w:p>
        </w:tc>
        <w:tc>
          <w:tcPr>
            <w:tcW w:w="630" w:type="dxa"/>
            <w:tcBorders>
              <w:top w:val="nil"/>
              <w:left w:val="nil"/>
              <w:bottom w:val="nil"/>
              <w:right w:val="nil"/>
            </w:tcBorders>
            <w:shd w:val="clear" w:color="000000" w:fill="FFFFFF"/>
            <w:noWrap/>
            <w:vAlign w:val="center"/>
            <w:hideMark/>
          </w:tcPr>
          <w:p w14:paraId="2699E26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3,4</w:t>
            </w:r>
          </w:p>
        </w:tc>
        <w:tc>
          <w:tcPr>
            <w:tcW w:w="270" w:type="dxa"/>
            <w:tcBorders>
              <w:top w:val="nil"/>
              <w:left w:val="nil"/>
              <w:bottom w:val="nil"/>
              <w:right w:val="nil"/>
            </w:tcBorders>
            <w:shd w:val="clear" w:color="000000" w:fill="FFFFFF"/>
            <w:noWrap/>
            <w:vAlign w:val="center"/>
            <w:hideMark/>
          </w:tcPr>
          <w:p w14:paraId="788ED6B0"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1ACF1F4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-0,4</w:t>
            </w:r>
          </w:p>
        </w:tc>
        <w:tc>
          <w:tcPr>
            <w:tcW w:w="630" w:type="dxa"/>
            <w:tcBorders>
              <w:top w:val="nil"/>
              <w:left w:val="nil"/>
              <w:bottom w:val="nil"/>
              <w:right w:val="nil"/>
            </w:tcBorders>
            <w:shd w:val="clear" w:color="000000" w:fill="FFFFFF"/>
            <w:noWrap/>
            <w:vAlign w:val="center"/>
            <w:hideMark/>
          </w:tcPr>
          <w:p w14:paraId="16EF3AF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c>
          <w:tcPr>
            <w:tcW w:w="630" w:type="dxa"/>
            <w:tcBorders>
              <w:top w:val="nil"/>
              <w:left w:val="nil"/>
              <w:bottom w:val="nil"/>
              <w:right w:val="nil"/>
            </w:tcBorders>
            <w:shd w:val="clear" w:color="000000" w:fill="FFFFFF"/>
            <w:noWrap/>
            <w:vAlign w:val="center"/>
            <w:hideMark/>
          </w:tcPr>
          <w:p w14:paraId="72B5BF3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r>
      <w:tr w:rsidR="00C04ADD" w:rsidRPr="00920DA9" w14:paraId="7427C021" w14:textId="77777777" w:rsidTr="00C04ADD">
        <w:trPr>
          <w:trHeight w:val="342"/>
        </w:trPr>
        <w:tc>
          <w:tcPr>
            <w:tcW w:w="419" w:type="dxa"/>
            <w:tcBorders>
              <w:top w:val="nil"/>
              <w:left w:val="nil"/>
              <w:bottom w:val="nil"/>
              <w:right w:val="nil"/>
            </w:tcBorders>
            <w:shd w:val="clear" w:color="auto" w:fill="auto"/>
            <w:noWrap/>
            <w:vAlign w:val="center"/>
            <w:hideMark/>
          </w:tcPr>
          <w:p w14:paraId="7911A51A"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3631" w:type="dxa"/>
            <w:gridSpan w:val="4"/>
            <w:tcBorders>
              <w:top w:val="nil"/>
              <w:left w:val="nil"/>
              <w:bottom w:val="nil"/>
              <w:right w:val="nil"/>
            </w:tcBorders>
            <w:shd w:val="clear" w:color="auto" w:fill="auto"/>
            <w:noWrap/>
            <w:vAlign w:val="center"/>
            <w:hideMark/>
          </w:tcPr>
          <w:p w14:paraId="34F7C68A" w14:textId="77777777" w:rsidR="00CE4C94" w:rsidRPr="00920DA9" w:rsidRDefault="00CE4C94" w:rsidP="00CE4C94">
            <w:pPr>
              <w:spacing w:after="0" w:line="240" w:lineRule="auto"/>
              <w:ind w:left="0" w:firstLine="0"/>
              <w:rPr>
                <w:rFonts w:eastAsia="Times New Roman"/>
                <w:b/>
                <w:bCs/>
                <w:color w:val="262626"/>
                <w:sz w:val="18"/>
                <w:szCs w:val="18"/>
              </w:rPr>
            </w:pPr>
            <w:r w:rsidRPr="00920DA9">
              <w:rPr>
                <w:b/>
                <w:bCs/>
                <w:color w:val="262626"/>
                <w:sz w:val="18"/>
                <w:szCs w:val="18"/>
              </w:rPr>
              <w:t>Volumen del comercio mundial</w:t>
            </w:r>
            <w:r w:rsidRPr="00920DA9">
              <w:rPr>
                <w:bCs/>
                <w:color w:val="262626"/>
                <w:sz w:val="18"/>
                <w:szCs w:val="18"/>
                <w:vertAlign w:val="superscript"/>
              </w:rPr>
              <w:t>4</w:t>
            </w:r>
          </w:p>
        </w:tc>
        <w:tc>
          <w:tcPr>
            <w:tcW w:w="720" w:type="dxa"/>
            <w:tcBorders>
              <w:top w:val="nil"/>
              <w:left w:val="nil"/>
              <w:bottom w:val="nil"/>
              <w:right w:val="nil"/>
            </w:tcBorders>
            <w:shd w:val="clear" w:color="000000" w:fill="FFFFFF"/>
            <w:noWrap/>
            <w:vAlign w:val="center"/>
            <w:hideMark/>
          </w:tcPr>
          <w:p w14:paraId="20886BC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5,9</w:t>
            </w:r>
          </w:p>
        </w:tc>
        <w:tc>
          <w:tcPr>
            <w:tcW w:w="630" w:type="dxa"/>
            <w:tcBorders>
              <w:top w:val="nil"/>
              <w:left w:val="nil"/>
              <w:bottom w:val="nil"/>
              <w:right w:val="nil"/>
            </w:tcBorders>
            <w:shd w:val="clear" w:color="000000" w:fill="FFFFFF"/>
            <w:noWrap/>
            <w:vAlign w:val="center"/>
            <w:hideMark/>
          </w:tcPr>
          <w:p w14:paraId="2C9BB4B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4,0</w:t>
            </w:r>
          </w:p>
        </w:tc>
        <w:tc>
          <w:tcPr>
            <w:tcW w:w="630" w:type="dxa"/>
            <w:tcBorders>
              <w:top w:val="nil"/>
              <w:left w:val="nil"/>
              <w:bottom w:val="nil"/>
              <w:right w:val="nil"/>
            </w:tcBorders>
            <w:shd w:val="clear" w:color="000000" w:fill="FFFFFF"/>
            <w:noWrap/>
            <w:vAlign w:val="center"/>
            <w:hideMark/>
          </w:tcPr>
          <w:p w14:paraId="6C70C13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1,4</w:t>
            </w:r>
          </w:p>
        </w:tc>
        <w:tc>
          <w:tcPr>
            <w:tcW w:w="630" w:type="dxa"/>
            <w:tcBorders>
              <w:top w:val="nil"/>
              <w:left w:val="nil"/>
              <w:bottom w:val="nil"/>
              <w:right w:val="nil"/>
            </w:tcBorders>
            <w:shd w:val="clear" w:color="000000" w:fill="FFFFFF"/>
            <w:noWrap/>
            <w:vAlign w:val="center"/>
            <w:hideMark/>
          </w:tcPr>
          <w:p w14:paraId="3CB275E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630" w:type="dxa"/>
            <w:tcBorders>
              <w:top w:val="nil"/>
              <w:left w:val="nil"/>
              <w:bottom w:val="nil"/>
              <w:right w:val="nil"/>
            </w:tcBorders>
            <w:shd w:val="clear" w:color="000000" w:fill="FFFFFF"/>
            <w:noWrap/>
            <w:vAlign w:val="center"/>
            <w:hideMark/>
          </w:tcPr>
          <w:p w14:paraId="256163C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2,5</w:t>
            </w:r>
          </w:p>
        </w:tc>
        <w:tc>
          <w:tcPr>
            <w:tcW w:w="630" w:type="dxa"/>
            <w:tcBorders>
              <w:top w:val="nil"/>
              <w:left w:val="nil"/>
              <w:bottom w:val="nil"/>
              <w:right w:val="nil"/>
            </w:tcBorders>
            <w:shd w:val="clear" w:color="000000" w:fill="FFFFFF"/>
            <w:noWrap/>
            <w:vAlign w:val="center"/>
            <w:hideMark/>
          </w:tcPr>
          <w:p w14:paraId="243E7D4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2,8</w:t>
            </w:r>
          </w:p>
        </w:tc>
        <w:tc>
          <w:tcPr>
            <w:tcW w:w="270" w:type="dxa"/>
            <w:tcBorders>
              <w:top w:val="nil"/>
              <w:left w:val="nil"/>
              <w:bottom w:val="nil"/>
              <w:right w:val="nil"/>
            </w:tcBorders>
            <w:shd w:val="clear" w:color="000000" w:fill="FFFFFF"/>
            <w:noWrap/>
            <w:vAlign w:val="center"/>
            <w:hideMark/>
          </w:tcPr>
          <w:p w14:paraId="0C57C88F"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1EB5D44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-1,2</w:t>
            </w:r>
          </w:p>
        </w:tc>
        <w:tc>
          <w:tcPr>
            <w:tcW w:w="630" w:type="dxa"/>
            <w:tcBorders>
              <w:top w:val="nil"/>
              <w:left w:val="nil"/>
              <w:bottom w:val="nil"/>
              <w:right w:val="nil"/>
            </w:tcBorders>
            <w:shd w:val="clear" w:color="000000" w:fill="FFFFFF"/>
            <w:noWrap/>
            <w:vAlign w:val="center"/>
            <w:hideMark/>
          </w:tcPr>
          <w:p w14:paraId="409DF98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-1,3</w:t>
            </w:r>
          </w:p>
        </w:tc>
        <w:tc>
          <w:tcPr>
            <w:tcW w:w="630" w:type="dxa"/>
            <w:tcBorders>
              <w:top w:val="nil"/>
              <w:left w:val="nil"/>
              <w:bottom w:val="nil"/>
              <w:right w:val="nil"/>
            </w:tcBorders>
            <w:shd w:val="clear" w:color="000000" w:fill="FFFFFF"/>
            <w:noWrap/>
            <w:vAlign w:val="center"/>
            <w:hideMark/>
          </w:tcPr>
          <w:p w14:paraId="077A269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-0,7</w:t>
            </w:r>
          </w:p>
        </w:tc>
      </w:tr>
      <w:tr w:rsidR="00C04ADD" w:rsidRPr="00920DA9" w14:paraId="5005A0C9" w14:textId="77777777" w:rsidTr="00C04ADD">
        <w:trPr>
          <w:trHeight w:val="342"/>
        </w:trPr>
        <w:tc>
          <w:tcPr>
            <w:tcW w:w="419" w:type="dxa"/>
            <w:tcBorders>
              <w:top w:val="nil"/>
              <w:left w:val="nil"/>
              <w:bottom w:val="nil"/>
              <w:right w:val="nil"/>
            </w:tcBorders>
            <w:shd w:val="clear" w:color="auto" w:fill="auto"/>
            <w:noWrap/>
            <w:vAlign w:val="center"/>
            <w:hideMark/>
          </w:tcPr>
          <w:p w14:paraId="34029831"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3631" w:type="dxa"/>
            <w:gridSpan w:val="4"/>
            <w:tcBorders>
              <w:top w:val="nil"/>
              <w:left w:val="nil"/>
              <w:bottom w:val="nil"/>
              <w:right w:val="nil"/>
            </w:tcBorders>
            <w:shd w:val="clear" w:color="auto" w:fill="auto"/>
            <w:noWrap/>
            <w:vAlign w:val="center"/>
            <w:hideMark/>
          </w:tcPr>
          <w:p w14:paraId="62956059" w14:textId="77777777" w:rsidR="00CE4C94" w:rsidRPr="00920DA9" w:rsidRDefault="00CE4C94" w:rsidP="00CE4C94">
            <w:pPr>
              <w:spacing w:after="0" w:line="240" w:lineRule="auto"/>
              <w:ind w:left="0" w:firstLine="0"/>
              <w:rPr>
                <w:rFonts w:eastAsia="Times New Roman"/>
                <w:b/>
                <w:bCs/>
                <w:color w:val="262626"/>
                <w:sz w:val="18"/>
                <w:szCs w:val="18"/>
              </w:rPr>
            </w:pPr>
            <w:r w:rsidRPr="00920DA9">
              <w:rPr>
                <w:b/>
                <w:bCs/>
                <w:color w:val="262626"/>
                <w:sz w:val="18"/>
                <w:szCs w:val="18"/>
              </w:rPr>
              <w:t>Precios de los productos básicos</w:t>
            </w:r>
            <w:r w:rsidRPr="00920DA9">
              <w:rPr>
                <w:bCs/>
                <w:color w:val="262626"/>
                <w:sz w:val="18"/>
                <w:szCs w:val="18"/>
                <w:vertAlign w:val="superscript"/>
              </w:rPr>
              <w:t>5</w:t>
            </w:r>
          </w:p>
        </w:tc>
        <w:tc>
          <w:tcPr>
            <w:tcW w:w="720" w:type="dxa"/>
            <w:tcBorders>
              <w:top w:val="nil"/>
              <w:left w:val="nil"/>
              <w:bottom w:val="nil"/>
              <w:right w:val="nil"/>
            </w:tcBorders>
            <w:shd w:val="clear" w:color="000000" w:fill="FFFFFF"/>
            <w:noWrap/>
            <w:vAlign w:val="center"/>
            <w:hideMark/>
          </w:tcPr>
          <w:p w14:paraId="179E1A4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2763483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26D592A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6A6837D5"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3B32C96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2666861C"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270" w:type="dxa"/>
            <w:tcBorders>
              <w:top w:val="nil"/>
              <w:left w:val="nil"/>
              <w:bottom w:val="nil"/>
              <w:right w:val="nil"/>
            </w:tcBorders>
            <w:shd w:val="clear" w:color="000000" w:fill="FFFFFF"/>
            <w:noWrap/>
            <w:vAlign w:val="center"/>
            <w:hideMark/>
          </w:tcPr>
          <w:p w14:paraId="4633B165"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482945A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72613EC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c>
          <w:tcPr>
            <w:tcW w:w="630" w:type="dxa"/>
            <w:tcBorders>
              <w:top w:val="nil"/>
              <w:left w:val="nil"/>
              <w:bottom w:val="nil"/>
              <w:right w:val="nil"/>
            </w:tcBorders>
            <w:shd w:val="clear" w:color="000000" w:fill="FFFFFF"/>
            <w:noWrap/>
            <w:vAlign w:val="center"/>
            <w:hideMark/>
          </w:tcPr>
          <w:p w14:paraId="17B32E5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 </w:t>
            </w:r>
          </w:p>
        </w:tc>
      </w:tr>
      <w:tr w:rsidR="00C04ADD" w:rsidRPr="00920DA9" w14:paraId="30B673CA" w14:textId="77777777" w:rsidTr="00C04ADD">
        <w:trPr>
          <w:trHeight w:val="342"/>
        </w:trPr>
        <w:tc>
          <w:tcPr>
            <w:tcW w:w="419" w:type="dxa"/>
            <w:tcBorders>
              <w:top w:val="nil"/>
              <w:left w:val="nil"/>
              <w:bottom w:val="nil"/>
              <w:right w:val="nil"/>
            </w:tcBorders>
            <w:shd w:val="clear" w:color="auto" w:fill="auto"/>
            <w:noWrap/>
            <w:vAlign w:val="center"/>
            <w:hideMark/>
          </w:tcPr>
          <w:p w14:paraId="02F62F6B"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3985BAAB"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5A56FEB3"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Precio del petróleo</w:t>
            </w:r>
          </w:p>
        </w:tc>
        <w:tc>
          <w:tcPr>
            <w:tcW w:w="720" w:type="dxa"/>
            <w:tcBorders>
              <w:top w:val="nil"/>
              <w:left w:val="nil"/>
              <w:bottom w:val="nil"/>
              <w:right w:val="nil"/>
            </w:tcBorders>
            <w:shd w:val="clear" w:color="000000" w:fill="FFFFFF"/>
            <w:noWrap/>
            <w:vAlign w:val="center"/>
            <w:hideMark/>
          </w:tcPr>
          <w:p w14:paraId="5675FBEF"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23,3</w:t>
            </w:r>
          </w:p>
        </w:tc>
        <w:tc>
          <w:tcPr>
            <w:tcW w:w="630" w:type="dxa"/>
            <w:tcBorders>
              <w:top w:val="nil"/>
              <w:left w:val="nil"/>
              <w:bottom w:val="nil"/>
              <w:right w:val="nil"/>
            </w:tcBorders>
            <w:shd w:val="clear" w:color="000000" w:fill="FFFFFF"/>
            <w:noWrap/>
            <w:vAlign w:val="center"/>
            <w:hideMark/>
          </w:tcPr>
          <w:p w14:paraId="074ED0AD"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29,4</w:t>
            </w:r>
          </w:p>
        </w:tc>
        <w:tc>
          <w:tcPr>
            <w:tcW w:w="630" w:type="dxa"/>
            <w:tcBorders>
              <w:top w:val="nil"/>
              <w:left w:val="nil"/>
              <w:bottom w:val="nil"/>
              <w:right w:val="nil"/>
            </w:tcBorders>
            <w:shd w:val="clear" w:color="000000" w:fill="FFFFFF"/>
            <w:noWrap/>
            <w:vAlign w:val="center"/>
            <w:hideMark/>
          </w:tcPr>
          <w:p w14:paraId="75A82FF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-10,3</w:t>
            </w:r>
          </w:p>
        </w:tc>
        <w:tc>
          <w:tcPr>
            <w:tcW w:w="630" w:type="dxa"/>
            <w:tcBorders>
              <w:top w:val="nil"/>
              <w:left w:val="nil"/>
              <w:bottom w:val="nil"/>
              <w:right w:val="nil"/>
            </w:tcBorders>
            <w:shd w:val="clear" w:color="000000" w:fill="FFFFFF"/>
            <w:noWrap/>
            <w:vAlign w:val="center"/>
            <w:hideMark/>
          </w:tcPr>
          <w:p w14:paraId="50445278"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-5,4</w:t>
            </w:r>
          </w:p>
        </w:tc>
        <w:tc>
          <w:tcPr>
            <w:tcW w:w="630" w:type="dxa"/>
            <w:tcBorders>
              <w:top w:val="nil"/>
              <w:left w:val="nil"/>
              <w:bottom w:val="nil"/>
              <w:right w:val="nil"/>
            </w:tcBorders>
            <w:shd w:val="clear" w:color="000000" w:fill="FFFFFF"/>
            <w:noWrap/>
            <w:vAlign w:val="center"/>
            <w:hideMark/>
          </w:tcPr>
          <w:p w14:paraId="681CB3A9"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630" w:type="dxa"/>
            <w:tcBorders>
              <w:top w:val="nil"/>
              <w:left w:val="nil"/>
              <w:bottom w:val="nil"/>
              <w:right w:val="nil"/>
            </w:tcBorders>
            <w:shd w:val="clear" w:color="000000" w:fill="FFFFFF"/>
            <w:noWrap/>
            <w:vAlign w:val="center"/>
            <w:hideMark/>
          </w:tcPr>
          <w:p w14:paraId="3025541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1,9</w:t>
            </w:r>
          </w:p>
        </w:tc>
        <w:tc>
          <w:tcPr>
            <w:tcW w:w="270" w:type="dxa"/>
            <w:tcBorders>
              <w:top w:val="nil"/>
              <w:left w:val="nil"/>
              <w:bottom w:val="nil"/>
              <w:right w:val="nil"/>
            </w:tcBorders>
            <w:shd w:val="clear" w:color="000000" w:fill="FFFFFF"/>
            <w:noWrap/>
            <w:vAlign w:val="center"/>
            <w:hideMark/>
          </w:tcPr>
          <w:p w14:paraId="23175C82"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5244A784"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-6,9</w:t>
            </w:r>
          </w:p>
        </w:tc>
        <w:tc>
          <w:tcPr>
            <w:tcW w:w="630" w:type="dxa"/>
            <w:tcBorders>
              <w:top w:val="nil"/>
              <w:left w:val="nil"/>
              <w:bottom w:val="nil"/>
              <w:right w:val="nil"/>
            </w:tcBorders>
            <w:shd w:val="clear" w:color="000000" w:fill="FFFFFF"/>
            <w:noWrap/>
            <w:vAlign w:val="center"/>
            <w:hideMark/>
          </w:tcPr>
          <w:p w14:paraId="2EDB46F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-3,9</w:t>
            </w:r>
          </w:p>
        </w:tc>
        <w:tc>
          <w:tcPr>
            <w:tcW w:w="630" w:type="dxa"/>
            <w:tcBorders>
              <w:top w:val="nil"/>
              <w:left w:val="nil"/>
              <w:bottom w:val="nil"/>
              <w:right w:val="nil"/>
            </w:tcBorders>
            <w:shd w:val="clear" w:color="000000" w:fill="FFFFFF"/>
            <w:noWrap/>
            <w:vAlign w:val="center"/>
            <w:hideMark/>
          </w:tcPr>
          <w:p w14:paraId="2D3DA382"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1,2</w:t>
            </w:r>
          </w:p>
        </w:tc>
      </w:tr>
      <w:tr w:rsidR="00C04ADD" w:rsidRPr="00920DA9" w14:paraId="20BC7959" w14:textId="77777777" w:rsidTr="00C04ADD">
        <w:trPr>
          <w:trHeight w:val="342"/>
        </w:trPr>
        <w:tc>
          <w:tcPr>
            <w:tcW w:w="419" w:type="dxa"/>
            <w:tcBorders>
              <w:top w:val="nil"/>
              <w:left w:val="nil"/>
              <w:bottom w:val="nil"/>
              <w:right w:val="nil"/>
            </w:tcBorders>
            <w:shd w:val="clear" w:color="auto" w:fill="auto"/>
            <w:noWrap/>
            <w:vAlign w:val="center"/>
            <w:hideMark/>
          </w:tcPr>
          <w:p w14:paraId="6284E3BF" w14:textId="77777777" w:rsidR="00CE4C94" w:rsidRPr="00920DA9" w:rsidRDefault="00CE4C94" w:rsidP="00CE4C94">
            <w:pPr>
              <w:spacing w:after="0" w:line="240" w:lineRule="auto"/>
              <w:ind w:left="0" w:firstLine="0"/>
              <w:jc w:val="center"/>
              <w:rPr>
                <w:rFonts w:eastAsia="Times New Roman"/>
                <w:color w:val="262626"/>
                <w:sz w:val="18"/>
                <w:szCs w:val="18"/>
                <w:lang w:eastAsia="zh-TW"/>
              </w:rPr>
            </w:pPr>
          </w:p>
        </w:tc>
        <w:tc>
          <w:tcPr>
            <w:tcW w:w="551" w:type="dxa"/>
            <w:tcBorders>
              <w:top w:val="nil"/>
              <w:left w:val="nil"/>
              <w:bottom w:val="nil"/>
              <w:right w:val="nil"/>
            </w:tcBorders>
            <w:shd w:val="clear" w:color="auto" w:fill="auto"/>
            <w:noWrap/>
            <w:vAlign w:val="center"/>
            <w:hideMark/>
          </w:tcPr>
          <w:p w14:paraId="1F220EA6" w14:textId="77777777" w:rsidR="00CE4C94" w:rsidRPr="00920DA9" w:rsidRDefault="00CE4C94" w:rsidP="00CE4C94">
            <w:pPr>
              <w:spacing w:after="0" w:line="240" w:lineRule="auto"/>
              <w:ind w:left="0" w:firstLine="0"/>
              <w:rPr>
                <w:rFonts w:ascii="Times New Roman" w:eastAsia="Times New Roman" w:hAnsi="Times New Roman" w:cs="Times New Roman"/>
                <w:color w:val="auto"/>
                <w:sz w:val="18"/>
                <w:szCs w:val="18"/>
                <w:lang w:eastAsia="zh-TW"/>
              </w:rPr>
            </w:pPr>
          </w:p>
        </w:tc>
        <w:tc>
          <w:tcPr>
            <w:tcW w:w="3080" w:type="dxa"/>
            <w:gridSpan w:val="3"/>
            <w:tcBorders>
              <w:top w:val="nil"/>
              <w:left w:val="nil"/>
              <w:bottom w:val="nil"/>
              <w:right w:val="nil"/>
            </w:tcBorders>
            <w:shd w:val="clear" w:color="auto" w:fill="auto"/>
            <w:noWrap/>
            <w:vAlign w:val="center"/>
            <w:hideMark/>
          </w:tcPr>
          <w:p w14:paraId="7898BE3C" w14:textId="77777777" w:rsidR="00CE4C94" w:rsidRPr="00920DA9" w:rsidRDefault="00CE4C94" w:rsidP="00CE4C94">
            <w:pPr>
              <w:spacing w:after="0" w:line="240" w:lineRule="auto"/>
              <w:ind w:left="0" w:firstLine="0"/>
              <w:rPr>
                <w:rFonts w:eastAsia="Times New Roman"/>
                <w:color w:val="262626"/>
                <w:sz w:val="18"/>
                <w:szCs w:val="18"/>
              </w:rPr>
            </w:pPr>
            <w:r w:rsidRPr="00920DA9">
              <w:rPr>
                <w:color w:val="262626"/>
                <w:sz w:val="18"/>
                <w:szCs w:val="18"/>
              </w:rPr>
              <w:t>Índice de precios de productos básicos no energéticos</w:t>
            </w:r>
          </w:p>
        </w:tc>
        <w:tc>
          <w:tcPr>
            <w:tcW w:w="720" w:type="dxa"/>
            <w:tcBorders>
              <w:top w:val="nil"/>
              <w:left w:val="nil"/>
              <w:bottom w:val="nil"/>
              <w:right w:val="nil"/>
            </w:tcBorders>
            <w:shd w:val="clear" w:color="000000" w:fill="FFFFFF"/>
            <w:noWrap/>
            <w:vAlign w:val="center"/>
            <w:hideMark/>
          </w:tcPr>
          <w:p w14:paraId="16C6EC06"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5,5</w:t>
            </w:r>
          </w:p>
        </w:tc>
        <w:tc>
          <w:tcPr>
            <w:tcW w:w="630" w:type="dxa"/>
            <w:tcBorders>
              <w:top w:val="nil"/>
              <w:left w:val="nil"/>
              <w:bottom w:val="nil"/>
              <w:right w:val="nil"/>
            </w:tcBorders>
            <w:shd w:val="clear" w:color="000000" w:fill="FFFFFF"/>
            <w:noWrap/>
            <w:vAlign w:val="center"/>
            <w:hideMark/>
          </w:tcPr>
          <w:p w14:paraId="68596F21"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630" w:type="dxa"/>
            <w:tcBorders>
              <w:top w:val="nil"/>
              <w:left w:val="nil"/>
              <w:bottom w:val="nil"/>
              <w:right w:val="nil"/>
            </w:tcBorders>
            <w:shd w:val="clear" w:color="000000" w:fill="FFFFFF"/>
            <w:noWrap/>
            <w:vAlign w:val="center"/>
            <w:hideMark/>
          </w:tcPr>
          <w:p w14:paraId="4A0933B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-4,7</w:t>
            </w:r>
          </w:p>
        </w:tc>
        <w:tc>
          <w:tcPr>
            <w:tcW w:w="630" w:type="dxa"/>
            <w:tcBorders>
              <w:top w:val="nil"/>
              <w:left w:val="nil"/>
              <w:bottom w:val="nil"/>
              <w:right w:val="nil"/>
            </w:tcBorders>
            <w:shd w:val="clear" w:color="000000" w:fill="FFFFFF"/>
            <w:noWrap/>
            <w:vAlign w:val="center"/>
            <w:hideMark/>
          </w:tcPr>
          <w:p w14:paraId="5E12789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0,1</w:t>
            </w:r>
          </w:p>
        </w:tc>
        <w:tc>
          <w:tcPr>
            <w:tcW w:w="630" w:type="dxa"/>
            <w:tcBorders>
              <w:top w:val="nil"/>
              <w:left w:val="nil"/>
              <w:bottom w:val="nil"/>
              <w:right w:val="nil"/>
            </w:tcBorders>
            <w:shd w:val="clear" w:color="000000" w:fill="FFFFFF"/>
            <w:noWrap/>
            <w:vAlign w:val="center"/>
            <w:hideMark/>
          </w:tcPr>
          <w:p w14:paraId="05A9ACD3"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630" w:type="dxa"/>
            <w:tcBorders>
              <w:top w:val="nil"/>
              <w:left w:val="nil"/>
              <w:bottom w:val="nil"/>
              <w:right w:val="nil"/>
            </w:tcBorders>
            <w:shd w:val="clear" w:color="000000" w:fill="FFFFFF"/>
            <w:noWrap/>
            <w:vAlign w:val="center"/>
            <w:hideMark/>
          </w:tcPr>
          <w:p w14:paraId="5957DE50"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1,7</w:t>
            </w:r>
          </w:p>
        </w:tc>
        <w:tc>
          <w:tcPr>
            <w:tcW w:w="270" w:type="dxa"/>
            <w:tcBorders>
              <w:top w:val="nil"/>
              <w:left w:val="nil"/>
              <w:bottom w:val="nil"/>
              <w:right w:val="nil"/>
            </w:tcBorders>
            <w:shd w:val="clear" w:color="000000" w:fill="FFFFFF"/>
            <w:noWrap/>
            <w:vAlign w:val="center"/>
            <w:hideMark/>
          </w:tcPr>
          <w:p w14:paraId="1AF87DBA" w14:textId="77777777" w:rsidR="00CE4C94" w:rsidRPr="00920DA9" w:rsidRDefault="00CE4C94" w:rsidP="00CE4C94">
            <w:pPr>
              <w:spacing w:after="0" w:line="240" w:lineRule="auto"/>
              <w:ind w:left="0" w:firstLine="0"/>
              <w:jc w:val="center"/>
              <w:rPr>
                <w:rFonts w:eastAsia="Times New Roman"/>
                <w:color w:val="244062"/>
                <w:sz w:val="18"/>
                <w:szCs w:val="18"/>
              </w:rPr>
            </w:pPr>
            <w:r w:rsidRPr="00920DA9">
              <w:rPr>
                <w:color w:val="244062"/>
                <w:sz w:val="18"/>
                <w:szCs w:val="18"/>
              </w:rPr>
              <w:t> </w:t>
            </w:r>
          </w:p>
        </w:tc>
        <w:tc>
          <w:tcPr>
            <w:tcW w:w="630" w:type="dxa"/>
            <w:tcBorders>
              <w:top w:val="nil"/>
              <w:left w:val="nil"/>
              <w:bottom w:val="nil"/>
              <w:right w:val="nil"/>
            </w:tcBorders>
            <w:shd w:val="clear" w:color="000000" w:fill="FFFFFF"/>
            <w:noWrap/>
            <w:vAlign w:val="center"/>
            <w:hideMark/>
          </w:tcPr>
          <w:p w14:paraId="49FC1A2B"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-2,6</w:t>
            </w:r>
          </w:p>
        </w:tc>
        <w:tc>
          <w:tcPr>
            <w:tcW w:w="630" w:type="dxa"/>
            <w:tcBorders>
              <w:top w:val="nil"/>
              <w:left w:val="nil"/>
              <w:bottom w:val="nil"/>
              <w:right w:val="nil"/>
            </w:tcBorders>
            <w:shd w:val="clear" w:color="000000" w:fill="FFFFFF"/>
            <w:noWrap/>
            <w:vAlign w:val="center"/>
            <w:hideMark/>
          </w:tcPr>
          <w:p w14:paraId="6784B60A"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0,2</w:t>
            </w:r>
          </w:p>
        </w:tc>
        <w:tc>
          <w:tcPr>
            <w:tcW w:w="630" w:type="dxa"/>
            <w:tcBorders>
              <w:top w:val="nil"/>
              <w:left w:val="nil"/>
              <w:bottom w:val="nil"/>
              <w:right w:val="nil"/>
            </w:tcBorders>
            <w:shd w:val="clear" w:color="000000" w:fill="FFFFFF"/>
            <w:noWrap/>
            <w:vAlign w:val="center"/>
            <w:hideMark/>
          </w:tcPr>
          <w:p w14:paraId="69489657" w14:textId="77777777" w:rsidR="00CE4C94" w:rsidRPr="00920DA9" w:rsidRDefault="00CE4C94" w:rsidP="00CE4C94">
            <w:pPr>
              <w:spacing w:after="0" w:line="240" w:lineRule="auto"/>
              <w:ind w:left="0" w:firstLine="0"/>
              <w:jc w:val="center"/>
              <w:rPr>
                <w:rFonts w:eastAsia="Times New Roman"/>
                <w:color w:val="262626"/>
                <w:sz w:val="18"/>
                <w:szCs w:val="18"/>
              </w:rPr>
            </w:pPr>
            <w:r w:rsidRPr="00920DA9">
              <w:rPr>
                <w:color w:val="262626"/>
                <w:sz w:val="18"/>
                <w:szCs w:val="18"/>
              </w:rPr>
              <w:t>0,3</w:t>
            </w:r>
          </w:p>
        </w:tc>
      </w:tr>
      <w:tr w:rsidR="00C94BEB" w:rsidRPr="00920DA9" w14:paraId="773F0AFD" w14:textId="77777777" w:rsidTr="00437ABA">
        <w:trPr>
          <w:trHeight w:val="342"/>
        </w:trPr>
        <w:tc>
          <w:tcPr>
            <w:tcW w:w="10080" w:type="dxa"/>
            <w:gridSpan w:val="15"/>
            <w:tcBorders>
              <w:top w:val="nil"/>
              <w:left w:val="nil"/>
              <w:bottom w:val="nil"/>
              <w:right w:val="nil"/>
            </w:tcBorders>
            <w:shd w:val="clear" w:color="auto" w:fill="auto"/>
            <w:noWrap/>
            <w:vAlign w:val="center"/>
          </w:tcPr>
          <w:p w14:paraId="006D2C09" w14:textId="08A3F84F" w:rsidR="00C94BEB" w:rsidRPr="00920DA9" w:rsidRDefault="00C94BEB" w:rsidP="00C94BEB">
            <w:pPr>
              <w:spacing w:after="0" w:line="240" w:lineRule="auto"/>
              <w:ind w:left="0" w:firstLine="0"/>
              <w:rPr>
                <w:color w:val="262626"/>
                <w:sz w:val="18"/>
                <w:szCs w:val="18"/>
              </w:rPr>
            </w:pPr>
            <w:r w:rsidRPr="00920DA9">
              <w:rPr>
                <w:color w:val="auto"/>
                <w:sz w:val="18"/>
                <w:szCs w:val="18"/>
              </w:rPr>
              <w:t>Fuente:</w:t>
            </w:r>
            <w:r w:rsidR="008B43DB" w:rsidRPr="00920DA9">
              <w:rPr>
                <w:i/>
                <w:iCs/>
                <w:color w:val="auto"/>
                <w:sz w:val="18"/>
                <w:szCs w:val="18"/>
              </w:rPr>
              <w:t xml:space="preserve"> </w:t>
            </w:r>
            <w:r w:rsidRPr="00920DA9">
              <w:rPr>
                <w:color w:val="auto"/>
                <w:sz w:val="18"/>
                <w:szCs w:val="18"/>
              </w:rPr>
              <w:t>Banco Mundial.</w:t>
            </w:r>
            <w:r w:rsidRPr="00920DA9">
              <w:rPr>
                <w:color w:val="auto"/>
                <w:sz w:val="18"/>
                <w:szCs w:val="18"/>
              </w:rPr>
              <w:br/>
              <w:t xml:space="preserve">Nota: PPA = paridad del poder adquisitivo; e = estimación; p = previsión. Las previsiones del Banco Mundial se actualizan con frecuencia sobre la base de nueva información. En consecuencia, las proyecciones que se presentan aquí pueden diferir de las incluidas en otros documentos del Banco, aun cuando las evaluaciones básicas de las perspectivas de los países no difieran en un determinado momento. Las clasificaciones de los países y las listas de mercados emergentes y economías en desarrollo (MEED) se incluyen en el cuadro 1.2. Los BRICS incluyen Brasil, Rusia, India, China y Sudáfrica. El Banco Mundial ha dejado de elaborar previsiones de crecimiento para Venezuela y ha quitado a dicho país de todas las cifras globales de crecimiento en las que estaba incluido anteriormente. </w:t>
            </w:r>
            <w:r w:rsidRPr="00920DA9">
              <w:rPr>
                <w:color w:val="auto"/>
                <w:sz w:val="18"/>
                <w:szCs w:val="18"/>
              </w:rPr>
              <w:br/>
              <w:t xml:space="preserve">1. Tasas de crecimiento globales calculadas utilizando las ponderaciones del PIB a precios de 2010 y tipos de cambio de mercado. En las ponderaciones de las tasas de crecimiento mundial basadas en la paridad del poder adquisitivo (PPA) se atribuye una proporción mayor del PIB mundial a los MEED en relación con los tipos de cambio de mercado debido a la aplicación de la metodología de la PPA, en la que se utiliza un tipo de cambio calculado a partir de la diferencia en los niveles de precio de una canasta de bienes y servicios entre las economías. </w:t>
            </w:r>
            <w:r w:rsidRPr="00920DA9">
              <w:rPr>
                <w:color w:val="auto"/>
                <w:sz w:val="18"/>
                <w:szCs w:val="18"/>
              </w:rPr>
              <w:br/>
              <w:t>2. Los valores del crecimiento del PIB se calculan sobre la base del ejercicio económico. Los agregados que incluyen estos países se calculan utilizando datos correspondientes al año civil. Las tasas de crecimiento de Pakistán se basan en el PIB a costo de los factores. La columna de 2019 se refiere al ejercicio de 2018/19.</w:t>
            </w:r>
            <w:r w:rsidRPr="00920DA9">
              <w:rPr>
                <w:color w:val="auto"/>
                <w:sz w:val="18"/>
                <w:szCs w:val="18"/>
              </w:rPr>
              <w:br/>
              <w:t>3. La columna de 2018 se refiere al ejercicio de 201</w:t>
            </w:r>
            <w:r w:rsidR="004E1393" w:rsidRPr="00920DA9">
              <w:rPr>
                <w:color w:val="auto"/>
                <w:sz w:val="18"/>
                <w:szCs w:val="18"/>
              </w:rPr>
              <w:t>8</w:t>
            </w:r>
            <w:r w:rsidRPr="00920DA9">
              <w:rPr>
                <w:color w:val="auto"/>
                <w:sz w:val="18"/>
                <w:szCs w:val="18"/>
              </w:rPr>
              <w:t>/1</w:t>
            </w:r>
            <w:r w:rsidR="004E1393" w:rsidRPr="00920DA9">
              <w:rPr>
                <w:color w:val="auto"/>
                <w:sz w:val="18"/>
                <w:szCs w:val="18"/>
              </w:rPr>
              <w:t>9</w:t>
            </w:r>
            <w:r w:rsidRPr="00920DA9">
              <w:rPr>
                <w:color w:val="auto"/>
                <w:sz w:val="18"/>
                <w:szCs w:val="18"/>
              </w:rPr>
              <w:t>.</w:t>
            </w:r>
            <w:r w:rsidRPr="00920DA9">
              <w:rPr>
                <w:color w:val="auto"/>
                <w:sz w:val="18"/>
                <w:szCs w:val="18"/>
              </w:rPr>
              <w:br/>
              <w:t>4. Volumen de comercio mundial de bienes y servicios no factoriales.</w:t>
            </w:r>
            <w:r w:rsidRPr="00920DA9">
              <w:rPr>
                <w:color w:val="auto"/>
                <w:sz w:val="18"/>
                <w:szCs w:val="18"/>
              </w:rPr>
              <w:br/>
              <w:t xml:space="preserve">5. Promedio simple de los precios del petróleo Brent, Dubai y West Texas Intermediate. El índice de precios de los productos básicos no energéticos es el promedio ponderado de 39 productos básicos (7 metales, 5 fertilizantes y 27 productos básicos agrícolas). Paro obtener información más detallada, visite </w:t>
            </w:r>
            <w:hyperlink r:id="rId21" w:history="1">
              <w:r w:rsidR="00903AE9" w:rsidRPr="00920DA9">
                <w:rPr>
                  <w:rStyle w:val="Hyperlink"/>
                  <w:sz w:val="18"/>
                  <w:szCs w:val="18"/>
                </w:rPr>
                <w:t>http://www.worldbank.org/commodities</w:t>
              </w:r>
            </w:hyperlink>
            <w:r w:rsidR="00903AE9" w:rsidRPr="00920DA9">
              <w:rPr>
                <w:color w:val="auto"/>
                <w:sz w:val="18"/>
                <w:szCs w:val="18"/>
              </w:rPr>
              <w:t xml:space="preserve"> </w:t>
            </w:r>
            <w:r w:rsidRPr="00920DA9">
              <w:rPr>
                <w:color w:val="auto"/>
                <w:sz w:val="18"/>
                <w:szCs w:val="18"/>
              </w:rPr>
              <w:t>(i).</w:t>
            </w:r>
            <w:r w:rsidRPr="00920DA9">
              <w:rPr>
                <w:color w:val="auto"/>
                <w:sz w:val="18"/>
                <w:szCs w:val="18"/>
              </w:rPr>
              <w:br/>
              <w:t>Para descargar los datos de este cuadro, visite https://www.bancomundial.org/es/publication/global-economic-prospects.</w:t>
            </w:r>
          </w:p>
        </w:tc>
      </w:tr>
    </w:tbl>
    <w:p w14:paraId="6B0A2382" w14:textId="71A0E781" w:rsidR="00002EC9" w:rsidRDefault="00002EC9" w:rsidP="00002EC9">
      <w:pPr>
        <w:spacing w:after="2" w:line="255" w:lineRule="auto"/>
        <w:ind w:left="0" w:right="-10" w:firstLine="0"/>
        <w:jc w:val="both"/>
        <w:rPr>
          <w:b/>
        </w:rPr>
      </w:pPr>
    </w:p>
    <w:p w14:paraId="22D42DAE" w14:textId="77777777" w:rsidR="00C94BEB" w:rsidRDefault="00C94BEB">
      <w:pPr>
        <w:spacing w:after="0" w:line="259" w:lineRule="auto"/>
        <w:ind w:left="-4" w:hanging="10"/>
        <w:rPr>
          <w:b/>
        </w:rPr>
      </w:pPr>
    </w:p>
    <w:p w14:paraId="1E711766" w14:textId="77777777" w:rsidR="006277BF" w:rsidRDefault="006277BF" w:rsidP="00B3053A">
      <w:pPr>
        <w:spacing w:after="0" w:line="259" w:lineRule="auto"/>
        <w:ind w:left="1" w:firstLine="0"/>
      </w:pPr>
    </w:p>
    <w:sectPr w:rsidR="006277BF">
      <w:headerReference w:type="even" r:id="rId22"/>
      <w:headerReference w:type="default" r:id="rId23"/>
      <w:headerReference w:type="first" r:id="rId24"/>
      <w:pgSz w:w="12240" w:h="15840"/>
      <w:pgMar w:top="1611" w:right="1203" w:bottom="1511" w:left="1331" w:header="6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B290" w14:textId="77777777" w:rsidR="0086153C" w:rsidRDefault="0086153C">
      <w:pPr>
        <w:spacing w:after="0" w:line="240" w:lineRule="auto"/>
      </w:pPr>
      <w:r>
        <w:separator/>
      </w:r>
    </w:p>
  </w:endnote>
  <w:endnote w:type="continuationSeparator" w:id="0">
    <w:p w14:paraId="74146D68" w14:textId="77777777" w:rsidR="0086153C" w:rsidRDefault="0086153C">
      <w:pPr>
        <w:spacing w:after="0" w:line="240" w:lineRule="auto"/>
      </w:pPr>
      <w:r>
        <w:continuationSeparator/>
      </w:r>
    </w:p>
  </w:endnote>
  <w:endnote w:type="continuationNotice" w:id="1">
    <w:p w14:paraId="3BA8C894" w14:textId="77777777" w:rsidR="0086153C" w:rsidRDefault="00861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BC3C" w14:textId="77777777" w:rsidR="0086153C" w:rsidRDefault="0086153C">
      <w:pPr>
        <w:spacing w:after="0" w:line="240" w:lineRule="auto"/>
      </w:pPr>
      <w:r>
        <w:separator/>
      </w:r>
    </w:p>
  </w:footnote>
  <w:footnote w:type="continuationSeparator" w:id="0">
    <w:p w14:paraId="38D24399" w14:textId="77777777" w:rsidR="0086153C" w:rsidRDefault="0086153C">
      <w:pPr>
        <w:spacing w:after="0" w:line="240" w:lineRule="auto"/>
      </w:pPr>
      <w:r>
        <w:continuationSeparator/>
      </w:r>
    </w:p>
  </w:footnote>
  <w:footnote w:type="continuationNotice" w:id="1">
    <w:p w14:paraId="189C104B" w14:textId="77777777" w:rsidR="0086153C" w:rsidRDefault="00861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B679" w14:textId="17E0B27A" w:rsidR="00437ABA" w:rsidRDefault="00437ABA">
    <w:pPr>
      <w:spacing w:after="0" w:line="259" w:lineRule="auto"/>
      <w:ind w:left="1" w:firstLine="0"/>
    </w:pPr>
    <w:r>
      <w:rPr>
        <w:b/>
        <w:i/>
        <w:sz w:val="28"/>
      </w:rPr>
      <w:t>EMBARGO: NO DEBERÁ PUBLICARSE NI TRANSMITIRSE</w:t>
    </w:r>
    <w:r w:rsidR="002537B5">
      <w:rPr>
        <w:b/>
        <w:i/>
        <w:sz w:val="28"/>
      </w:rPr>
      <w:t xml:space="preserve"> </w:t>
    </w:r>
  </w:p>
  <w:p w14:paraId="585D11B4" w14:textId="03D42320" w:rsidR="00437ABA" w:rsidRDefault="00437ABA">
    <w:pPr>
      <w:spacing w:after="0" w:line="259" w:lineRule="auto"/>
      <w:ind w:left="1" w:firstLine="0"/>
    </w:pPr>
    <w:r>
      <w:rPr>
        <w:b/>
        <w:i/>
        <w:sz w:val="28"/>
      </w:rPr>
      <w:t>HASTA LAS 16.00, HORA DEL ESTE DE</w:t>
    </w:r>
    <w:r w:rsidR="002537B5">
      <w:rPr>
        <w:b/>
        <w:i/>
        <w:sz w:val="28"/>
      </w:rPr>
      <w:t xml:space="preserve"> </w:t>
    </w:r>
    <w:r>
      <w:rPr>
        <w:b/>
        <w:i/>
        <w:sz w:val="28"/>
      </w:rPr>
      <w:t>ESTADOS UNIDOS (LAS 21.00, HORA UNIVERSAL COORDINADA) DEL MARTES 9 DE ENERO.</w:t>
    </w:r>
    <w:r>
      <w:rPr>
        <w:rFonts w:ascii="Times New Roman" w:hAnsi="Times New Roman"/>
        <w:sz w:val="24"/>
      </w:rPr>
      <w:t xml:space="preserve"> </w:t>
    </w:r>
  </w:p>
  <w:p w14:paraId="057D06C1" w14:textId="77777777" w:rsidR="00437ABA" w:rsidRDefault="00437ABA">
    <w:pPr>
      <w:spacing w:after="0" w:line="259" w:lineRule="auto"/>
      <w:ind w:left="1" w:firstLine="0"/>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6CF8" w14:textId="200ABF4D" w:rsidR="00437ABA" w:rsidRDefault="00437ABA" w:rsidP="00C008EB">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BAF4" w14:textId="77777777" w:rsidR="00437ABA" w:rsidRDefault="00437ABA">
    <w:pPr>
      <w:spacing w:after="0" w:line="259" w:lineRule="auto"/>
      <w:ind w:left="1" w:firstLine="0"/>
    </w:pPr>
    <w:r>
      <w:rPr>
        <w:b/>
        <w:i/>
        <w:sz w:val="28"/>
      </w:rPr>
      <w:t xml:space="preserve">EMBARGO: NO DEBERÁ PUBLICARSE NI TRANSMITIRSE </w:t>
    </w:r>
  </w:p>
  <w:p w14:paraId="50C705C5" w14:textId="23929EF0" w:rsidR="00437ABA" w:rsidRDefault="00437ABA">
    <w:pPr>
      <w:spacing w:after="0" w:line="259" w:lineRule="auto"/>
      <w:ind w:left="1" w:firstLine="0"/>
    </w:pPr>
    <w:r>
      <w:rPr>
        <w:b/>
        <w:i/>
        <w:sz w:val="28"/>
      </w:rPr>
      <w:t>HASTA LAS 16.00, HORA DEL ESTE DE</w:t>
    </w:r>
    <w:r w:rsidR="002537B5">
      <w:rPr>
        <w:b/>
        <w:i/>
        <w:sz w:val="28"/>
      </w:rPr>
      <w:t xml:space="preserve"> </w:t>
    </w:r>
    <w:r>
      <w:rPr>
        <w:b/>
        <w:i/>
        <w:sz w:val="28"/>
      </w:rPr>
      <w:t>ESTADOS UNIDOS (LAS 21.00, HORA UNIVERSAL COORDINADA) DEL MARTES 9 DE ENERO.</w:t>
    </w:r>
    <w:r>
      <w:rPr>
        <w:rFonts w:ascii="Times New Roman" w:hAnsi="Times New Roman"/>
        <w:sz w:val="24"/>
      </w:rPr>
      <w:t xml:space="preserve"> </w:t>
    </w:r>
  </w:p>
  <w:p w14:paraId="7E353C51" w14:textId="77777777" w:rsidR="00437ABA" w:rsidRDefault="00437ABA">
    <w:pPr>
      <w:spacing w:after="0" w:line="259" w:lineRule="auto"/>
      <w:ind w:left="1" w:firstLine="0"/>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2E8"/>
    <w:multiLevelType w:val="hybridMultilevel"/>
    <w:tmpl w:val="DDBAB762"/>
    <w:lvl w:ilvl="0" w:tplc="9E887410">
      <w:start w:val="1"/>
      <w:numFmt w:val="decimal"/>
      <w:lvlText w:val="%1."/>
      <w:lvlJc w:val="left"/>
      <w:pPr>
        <w:ind w:left="2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66A53E0">
      <w:start w:val="1"/>
      <w:numFmt w:val="lowerLetter"/>
      <w:lvlText w:val="%2"/>
      <w:lvlJc w:val="left"/>
      <w:pPr>
        <w:ind w:left="11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934BC36">
      <w:start w:val="1"/>
      <w:numFmt w:val="lowerRoman"/>
      <w:lvlText w:val="%3"/>
      <w:lvlJc w:val="left"/>
      <w:pPr>
        <w:ind w:left="18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CBE4DB2">
      <w:start w:val="1"/>
      <w:numFmt w:val="decimal"/>
      <w:lvlText w:val="%4"/>
      <w:lvlJc w:val="left"/>
      <w:pPr>
        <w:ind w:left="25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4DAE430">
      <w:start w:val="1"/>
      <w:numFmt w:val="lowerLetter"/>
      <w:lvlText w:val="%5"/>
      <w:lvlJc w:val="left"/>
      <w:pPr>
        <w:ind w:left="33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9A87662">
      <w:start w:val="1"/>
      <w:numFmt w:val="lowerRoman"/>
      <w:lvlText w:val="%6"/>
      <w:lvlJc w:val="left"/>
      <w:pPr>
        <w:ind w:left="40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0725A38">
      <w:start w:val="1"/>
      <w:numFmt w:val="decimal"/>
      <w:lvlText w:val="%7"/>
      <w:lvlJc w:val="left"/>
      <w:pPr>
        <w:ind w:left="47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F9617BE">
      <w:start w:val="1"/>
      <w:numFmt w:val="lowerLetter"/>
      <w:lvlText w:val="%8"/>
      <w:lvlJc w:val="left"/>
      <w:pPr>
        <w:ind w:left="54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D9E5F82">
      <w:start w:val="1"/>
      <w:numFmt w:val="lowerRoman"/>
      <w:lvlText w:val="%9"/>
      <w:lvlJc w:val="left"/>
      <w:pPr>
        <w:ind w:left="61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1C01F10"/>
    <w:multiLevelType w:val="hybridMultilevel"/>
    <w:tmpl w:val="06E62162"/>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 w15:restartNumberingAfterBreak="0">
    <w:nsid w:val="67C96407"/>
    <w:multiLevelType w:val="hybridMultilevel"/>
    <w:tmpl w:val="FFE0F72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tzAysjS2MDEwMzFR0lEKTi0uzszPAykwrAUAB6JJyiwAAAA="/>
  </w:docVars>
  <w:rsids>
    <w:rsidRoot w:val="006277BF"/>
    <w:rsid w:val="00002EC9"/>
    <w:rsid w:val="00002EE0"/>
    <w:rsid w:val="00004875"/>
    <w:rsid w:val="00004A26"/>
    <w:rsid w:val="00005B6A"/>
    <w:rsid w:val="00006741"/>
    <w:rsid w:val="0001204F"/>
    <w:rsid w:val="00012E6B"/>
    <w:rsid w:val="000173FC"/>
    <w:rsid w:val="000202AD"/>
    <w:rsid w:val="00022D5C"/>
    <w:rsid w:val="00023FA5"/>
    <w:rsid w:val="000254C7"/>
    <w:rsid w:val="00026821"/>
    <w:rsid w:val="000274B1"/>
    <w:rsid w:val="00032F19"/>
    <w:rsid w:val="00037FAC"/>
    <w:rsid w:val="0004045F"/>
    <w:rsid w:val="0004123C"/>
    <w:rsid w:val="000418A5"/>
    <w:rsid w:val="0004343D"/>
    <w:rsid w:val="00044926"/>
    <w:rsid w:val="00045035"/>
    <w:rsid w:val="000459D6"/>
    <w:rsid w:val="00050F75"/>
    <w:rsid w:val="00051EAE"/>
    <w:rsid w:val="00052F90"/>
    <w:rsid w:val="0005489B"/>
    <w:rsid w:val="00054C1E"/>
    <w:rsid w:val="0005556D"/>
    <w:rsid w:val="00064749"/>
    <w:rsid w:val="0006635B"/>
    <w:rsid w:val="00073340"/>
    <w:rsid w:val="00074753"/>
    <w:rsid w:val="00075245"/>
    <w:rsid w:val="0008075A"/>
    <w:rsid w:val="00084083"/>
    <w:rsid w:val="0008409D"/>
    <w:rsid w:val="00085857"/>
    <w:rsid w:val="000878C8"/>
    <w:rsid w:val="00090F88"/>
    <w:rsid w:val="00091BA6"/>
    <w:rsid w:val="00092B5F"/>
    <w:rsid w:val="000946D1"/>
    <w:rsid w:val="0009567B"/>
    <w:rsid w:val="00097EEB"/>
    <w:rsid w:val="000A1172"/>
    <w:rsid w:val="000A1831"/>
    <w:rsid w:val="000A55FA"/>
    <w:rsid w:val="000A6F58"/>
    <w:rsid w:val="000B2D5D"/>
    <w:rsid w:val="000B3E9D"/>
    <w:rsid w:val="000B4E63"/>
    <w:rsid w:val="000B5707"/>
    <w:rsid w:val="000C0631"/>
    <w:rsid w:val="000C0B34"/>
    <w:rsid w:val="000C35B8"/>
    <w:rsid w:val="000E0478"/>
    <w:rsid w:val="000E120A"/>
    <w:rsid w:val="000E3469"/>
    <w:rsid w:val="000E5A8F"/>
    <w:rsid w:val="000E6993"/>
    <w:rsid w:val="000E7A92"/>
    <w:rsid w:val="000F2213"/>
    <w:rsid w:val="000F3543"/>
    <w:rsid w:val="000F4C09"/>
    <w:rsid w:val="000F6162"/>
    <w:rsid w:val="00100C7E"/>
    <w:rsid w:val="0011110B"/>
    <w:rsid w:val="001117F3"/>
    <w:rsid w:val="0011323C"/>
    <w:rsid w:val="00114FB5"/>
    <w:rsid w:val="00115960"/>
    <w:rsid w:val="001178DC"/>
    <w:rsid w:val="001234F1"/>
    <w:rsid w:val="0013002D"/>
    <w:rsid w:val="0013245A"/>
    <w:rsid w:val="001335FE"/>
    <w:rsid w:val="0013448C"/>
    <w:rsid w:val="0014209F"/>
    <w:rsid w:val="0014320F"/>
    <w:rsid w:val="00145073"/>
    <w:rsid w:val="00146CA1"/>
    <w:rsid w:val="001508D7"/>
    <w:rsid w:val="00150C07"/>
    <w:rsid w:val="00150F8F"/>
    <w:rsid w:val="001523F6"/>
    <w:rsid w:val="00153684"/>
    <w:rsid w:val="0015382A"/>
    <w:rsid w:val="00154643"/>
    <w:rsid w:val="001546E6"/>
    <w:rsid w:val="00157727"/>
    <w:rsid w:val="00157B96"/>
    <w:rsid w:val="00164CBE"/>
    <w:rsid w:val="00165CB3"/>
    <w:rsid w:val="00171400"/>
    <w:rsid w:val="0017654C"/>
    <w:rsid w:val="00180F79"/>
    <w:rsid w:val="00182728"/>
    <w:rsid w:val="00182951"/>
    <w:rsid w:val="001831BF"/>
    <w:rsid w:val="0018352C"/>
    <w:rsid w:val="00184E4E"/>
    <w:rsid w:val="00185D93"/>
    <w:rsid w:val="001911D8"/>
    <w:rsid w:val="00195129"/>
    <w:rsid w:val="001A2EB6"/>
    <w:rsid w:val="001A4A7A"/>
    <w:rsid w:val="001A5F37"/>
    <w:rsid w:val="001A7FC5"/>
    <w:rsid w:val="001B2C37"/>
    <w:rsid w:val="001B5A1D"/>
    <w:rsid w:val="001B5D12"/>
    <w:rsid w:val="001B5E8A"/>
    <w:rsid w:val="001B68E2"/>
    <w:rsid w:val="001B7D83"/>
    <w:rsid w:val="001C014C"/>
    <w:rsid w:val="001C088F"/>
    <w:rsid w:val="001C0A97"/>
    <w:rsid w:val="001C0D6F"/>
    <w:rsid w:val="001C154C"/>
    <w:rsid w:val="001C3733"/>
    <w:rsid w:val="001C3DCA"/>
    <w:rsid w:val="001C3FF3"/>
    <w:rsid w:val="001C4D67"/>
    <w:rsid w:val="001C50AF"/>
    <w:rsid w:val="001D2B82"/>
    <w:rsid w:val="001D3375"/>
    <w:rsid w:val="001D4369"/>
    <w:rsid w:val="001D6300"/>
    <w:rsid w:val="001E62A7"/>
    <w:rsid w:val="001E779D"/>
    <w:rsid w:val="001F149C"/>
    <w:rsid w:val="001F2179"/>
    <w:rsid w:val="001F4613"/>
    <w:rsid w:val="001F628D"/>
    <w:rsid w:val="001F6803"/>
    <w:rsid w:val="001F6840"/>
    <w:rsid w:val="001F7395"/>
    <w:rsid w:val="001F7990"/>
    <w:rsid w:val="00200305"/>
    <w:rsid w:val="00201D60"/>
    <w:rsid w:val="00205D98"/>
    <w:rsid w:val="0020630F"/>
    <w:rsid w:val="00212ADB"/>
    <w:rsid w:val="002144FC"/>
    <w:rsid w:val="00215515"/>
    <w:rsid w:val="0021598F"/>
    <w:rsid w:val="00216970"/>
    <w:rsid w:val="00217C28"/>
    <w:rsid w:val="002212C1"/>
    <w:rsid w:val="00222399"/>
    <w:rsid w:val="0022258F"/>
    <w:rsid w:val="00223E5E"/>
    <w:rsid w:val="00224103"/>
    <w:rsid w:val="00225DFB"/>
    <w:rsid w:val="00232B0F"/>
    <w:rsid w:val="00235A43"/>
    <w:rsid w:val="00237CD9"/>
    <w:rsid w:val="002411A0"/>
    <w:rsid w:val="00241D69"/>
    <w:rsid w:val="00245EB1"/>
    <w:rsid w:val="00247B75"/>
    <w:rsid w:val="002537B5"/>
    <w:rsid w:val="00253DA1"/>
    <w:rsid w:val="00256692"/>
    <w:rsid w:val="002578CC"/>
    <w:rsid w:val="00262C37"/>
    <w:rsid w:val="002645BE"/>
    <w:rsid w:val="002648F2"/>
    <w:rsid w:val="0026533F"/>
    <w:rsid w:val="00270324"/>
    <w:rsid w:val="00270469"/>
    <w:rsid w:val="00271464"/>
    <w:rsid w:val="002728B6"/>
    <w:rsid w:val="00276A2D"/>
    <w:rsid w:val="00280649"/>
    <w:rsid w:val="002809A1"/>
    <w:rsid w:val="0028174A"/>
    <w:rsid w:val="00281D01"/>
    <w:rsid w:val="00283AA4"/>
    <w:rsid w:val="00284070"/>
    <w:rsid w:val="00291498"/>
    <w:rsid w:val="00292C0D"/>
    <w:rsid w:val="00292C56"/>
    <w:rsid w:val="002948FD"/>
    <w:rsid w:val="00295E4F"/>
    <w:rsid w:val="0029680D"/>
    <w:rsid w:val="002A02D9"/>
    <w:rsid w:val="002A09FF"/>
    <w:rsid w:val="002A3CFA"/>
    <w:rsid w:val="002A6DF5"/>
    <w:rsid w:val="002A79C9"/>
    <w:rsid w:val="002B1311"/>
    <w:rsid w:val="002B73B2"/>
    <w:rsid w:val="002C0EC3"/>
    <w:rsid w:val="002C15B0"/>
    <w:rsid w:val="002C6E54"/>
    <w:rsid w:val="002C7D24"/>
    <w:rsid w:val="002D1E4E"/>
    <w:rsid w:val="002D26BE"/>
    <w:rsid w:val="002D55E7"/>
    <w:rsid w:val="002E1554"/>
    <w:rsid w:val="002E23C6"/>
    <w:rsid w:val="002E40A5"/>
    <w:rsid w:val="002E53BE"/>
    <w:rsid w:val="002E57D6"/>
    <w:rsid w:val="002E71C7"/>
    <w:rsid w:val="002F7AC3"/>
    <w:rsid w:val="002F7CFD"/>
    <w:rsid w:val="00300398"/>
    <w:rsid w:val="0030627E"/>
    <w:rsid w:val="003065F7"/>
    <w:rsid w:val="00306B85"/>
    <w:rsid w:val="00310586"/>
    <w:rsid w:val="00312771"/>
    <w:rsid w:val="003132C9"/>
    <w:rsid w:val="0031584D"/>
    <w:rsid w:val="00316031"/>
    <w:rsid w:val="00316106"/>
    <w:rsid w:val="003205B6"/>
    <w:rsid w:val="0032292A"/>
    <w:rsid w:val="00322E20"/>
    <w:rsid w:val="00326999"/>
    <w:rsid w:val="00327003"/>
    <w:rsid w:val="00327AEE"/>
    <w:rsid w:val="0033219F"/>
    <w:rsid w:val="00333662"/>
    <w:rsid w:val="00333C41"/>
    <w:rsid w:val="00337F25"/>
    <w:rsid w:val="00337F33"/>
    <w:rsid w:val="003429CF"/>
    <w:rsid w:val="00342AF6"/>
    <w:rsid w:val="00345606"/>
    <w:rsid w:val="0035168B"/>
    <w:rsid w:val="00352538"/>
    <w:rsid w:val="00357CF9"/>
    <w:rsid w:val="0036246A"/>
    <w:rsid w:val="003665B8"/>
    <w:rsid w:val="00370A32"/>
    <w:rsid w:val="003730FF"/>
    <w:rsid w:val="00373601"/>
    <w:rsid w:val="00377184"/>
    <w:rsid w:val="00377C05"/>
    <w:rsid w:val="00382822"/>
    <w:rsid w:val="0038703A"/>
    <w:rsid w:val="00390FDA"/>
    <w:rsid w:val="0039427B"/>
    <w:rsid w:val="003A02DA"/>
    <w:rsid w:val="003A33F3"/>
    <w:rsid w:val="003A5E9C"/>
    <w:rsid w:val="003A6319"/>
    <w:rsid w:val="003B0C9C"/>
    <w:rsid w:val="003B10B7"/>
    <w:rsid w:val="003B2D43"/>
    <w:rsid w:val="003B5D90"/>
    <w:rsid w:val="003C31D2"/>
    <w:rsid w:val="003C4418"/>
    <w:rsid w:val="003C50BD"/>
    <w:rsid w:val="003C6EE8"/>
    <w:rsid w:val="003C7DFA"/>
    <w:rsid w:val="003C7F78"/>
    <w:rsid w:val="003D3937"/>
    <w:rsid w:val="003D40DC"/>
    <w:rsid w:val="003D5E6E"/>
    <w:rsid w:val="003D6241"/>
    <w:rsid w:val="003E78EE"/>
    <w:rsid w:val="003E7B9D"/>
    <w:rsid w:val="003F3E09"/>
    <w:rsid w:val="003F4835"/>
    <w:rsid w:val="003F6E4D"/>
    <w:rsid w:val="0040274F"/>
    <w:rsid w:val="00406774"/>
    <w:rsid w:val="00406935"/>
    <w:rsid w:val="00407F47"/>
    <w:rsid w:val="0041222E"/>
    <w:rsid w:val="00412D03"/>
    <w:rsid w:val="00416EBC"/>
    <w:rsid w:val="00417FBC"/>
    <w:rsid w:val="00422D50"/>
    <w:rsid w:val="00422E94"/>
    <w:rsid w:val="00432ACB"/>
    <w:rsid w:val="00432FEE"/>
    <w:rsid w:val="004331A0"/>
    <w:rsid w:val="00434834"/>
    <w:rsid w:val="00437ABA"/>
    <w:rsid w:val="0044111C"/>
    <w:rsid w:val="00444031"/>
    <w:rsid w:val="004537FA"/>
    <w:rsid w:val="00453DEE"/>
    <w:rsid w:val="004561DE"/>
    <w:rsid w:val="00456E51"/>
    <w:rsid w:val="00461FC7"/>
    <w:rsid w:val="004631C7"/>
    <w:rsid w:val="0046668B"/>
    <w:rsid w:val="004707E2"/>
    <w:rsid w:val="00472EEC"/>
    <w:rsid w:val="004751E2"/>
    <w:rsid w:val="00482A9E"/>
    <w:rsid w:val="004912C2"/>
    <w:rsid w:val="004937D0"/>
    <w:rsid w:val="00493911"/>
    <w:rsid w:val="004969BC"/>
    <w:rsid w:val="00497374"/>
    <w:rsid w:val="00497866"/>
    <w:rsid w:val="004A0D8D"/>
    <w:rsid w:val="004A46D9"/>
    <w:rsid w:val="004B3256"/>
    <w:rsid w:val="004B3A9F"/>
    <w:rsid w:val="004B49E7"/>
    <w:rsid w:val="004B55E5"/>
    <w:rsid w:val="004C11D5"/>
    <w:rsid w:val="004C1721"/>
    <w:rsid w:val="004C1CA0"/>
    <w:rsid w:val="004C2CFE"/>
    <w:rsid w:val="004C47B4"/>
    <w:rsid w:val="004D163A"/>
    <w:rsid w:val="004D373D"/>
    <w:rsid w:val="004D5EE3"/>
    <w:rsid w:val="004D725B"/>
    <w:rsid w:val="004E1393"/>
    <w:rsid w:val="004F003C"/>
    <w:rsid w:val="004F1ECD"/>
    <w:rsid w:val="004F2E7C"/>
    <w:rsid w:val="004F30C9"/>
    <w:rsid w:val="004F71CB"/>
    <w:rsid w:val="004F7D67"/>
    <w:rsid w:val="00500468"/>
    <w:rsid w:val="00502B6C"/>
    <w:rsid w:val="005035A5"/>
    <w:rsid w:val="0050645E"/>
    <w:rsid w:val="00514409"/>
    <w:rsid w:val="00516F48"/>
    <w:rsid w:val="0052016F"/>
    <w:rsid w:val="00523A4C"/>
    <w:rsid w:val="00525E97"/>
    <w:rsid w:val="00526B45"/>
    <w:rsid w:val="00530D96"/>
    <w:rsid w:val="005316C9"/>
    <w:rsid w:val="0054222B"/>
    <w:rsid w:val="005428B3"/>
    <w:rsid w:val="00543D3C"/>
    <w:rsid w:val="0054432D"/>
    <w:rsid w:val="005502CB"/>
    <w:rsid w:val="0055165E"/>
    <w:rsid w:val="00553716"/>
    <w:rsid w:val="00553787"/>
    <w:rsid w:val="005606C9"/>
    <w:rsid w:val="00561260"/>
    <w:rsid w:val="00563BED"/>
    <w:rsid w:val="00565029"/>
    <w:rsid w:val="0056536A"/>
    <w:rsid w:val="005738B2"/>
    <w:rsid w:val="00574BDB"/>
    <w:rsid w:val="00580C9F"/>
    <w:rsid w:val="005821C9"/>
    <w:rsid w:val="005901EF"/>
    <w:rsid w:val="0059284C"/>
    <w:rsid w:val="00592A52"/>
    <w:rsid w:val="00594DB2"/>
    <w:rsid w:val="00594ED4"/>
    <w:rsid w:val="005971C4"/>
    <w:rsid w:val="00597454"/>
    <w:rsid w:val="005975A7"/>
    <w:rsid w:val="005A0068"/>
    <w:rsid w:val="005A1B16"/>
    <w:rsid w:val="005C182E"/>
    <w:rsid w:val="005C3BDF"/>
    <w:rsid w:val="005D1713"/>
    <w:rsid w:val="005D470F"/>
    <w:rsid w:val="005D652F"/>
    <w:rsid w:val="005E3A8E"/>
    <w:rsid w:val="005E75FF"/>
    <w:rsid w:val="005F2785"/>
    <w:rsid w:val="005F30F1"/>
    <w:rsid w:val="005F56C4"/>
    <w:rsid w:val="00601235"/>
    <w:rsid w:val="00604661"/>
    <w:rsid w:val="006060EE"/>
    <w:rsid w:val="00606AF3"/>
    <w:rsid w:val="00606D1C"/>
    <w:rsid w:val="00606E4D"/>
    <w:rsid w:val="00607B9D"/>
    <w:rsid w:val="006106E8"/>
    <w:rsid w:val="00611D5C"/>
    <w:rsid w:val="00612510"/>
    <w:rsid w:val="006143A9"/>
    <w:rsid w:val="00614B28"/>
    <w:rsid w:val="0061568B"/>
    <w:rsid w:val="00616E50"/>
    <w:rsid w:val="00621D54"/>
    <w:rsid w:val="00621FE9"/>
    <w:rsid w:val="006239D0"/>
    <w:rsid w:val="0062452E"/>
    <w:rsid w:val="006246D7"/>
    <w:rsid w:val="0062770A"/>
    <w:rsid w:val="006277BF"/>
    <w:rsid w:val="006310EA"/>
    <w:rsid w:val="0063165E"/>
    <w:rsid w:val="00633815"/>
    <w:rsid w:val="0063452C"/>
    <w:rsid w:val="00637DAB"/>
    <w:rsid w:val="00637E8E"/>
    <w:rsid w:val="00642B70"/>
    <w:rsid w:val="00645399"/>
    <w:rsid w:val="00645B71"/>
    <w:rsid w:val="0064624F"/>
    <w:rsid w:val="00646412"/>
    <w:rsid w:val="00650088"/>
    <w:rsid w:val="006558BE"/>
    <w:rsid w:val="00655DCD"/>
    <w:rsid w:val="006563F1"/>
    <w:rsid w:val="00656674"/>
    <w:rsid w:val="0065713D"/>
    <w:rsid w:val="006603AF"/>
    <w:rsid w:val="00660AB1"/>
    <w:rsid w:val="0066162A"/>
    <w:rsid w:val="006621CF"/>
    <w:rsid w:val="00662B55"/>
    <w:rsid w:val="00662C09"/>
    <w:rsid w:val="00662E95"/>
    <w:rsid w:val="00663163"/>
    <w:rsid w:val="00663CFF"/>
    <w:rsid w:val="00664261"/>
    <w:rsid w:val="006674A0"/>
    <w:rsid w:val="00667FCF"/>
    <w:rsid w:val="00673515"/>
    <w:rsid w:val="00675248"/>
    <w:rsid w:val="006766D2"/>
    <w:rsid w:val="006831C5"/>
    <w:rsid w:val="00684C31"/>
    <w:rsid w:val="00684EB0"/>
    <w:rsid w:val="0069060A"/>
    <w:rsid w:val="00694322"/>
    <w:rsid w:val="00695AE0"/>
    <w:rsid w:val="00696D47"/>
    <w:rsid w:val="006A10E4"/>
    <w:rsid w:val="006A168E"/>
    <w:rsid w:val="006A3261"/>
    <w:rsid w:val="006A411A"/>
    <w:rsid w:val="006A4D1E"/>
    <w:rsid w:val="006A6AF6"/>
    <w:rsid w:val="006B31DA"/>
    <w:rsid w:val="006B5004"/>
    <w:rsid w:val="006B6CCB"/>
    <w:rsid w:val="006C23C7"/>
    <w:rsid w:val="006C2BB4"/>
    <w:rsid w:val="006C46D0"/>
    <w:rsid w:val="006C479F"/>
    <w:rsid w:val="006C50FB"/>
    <w:rsid w:val="006C6015"/>
    <w:rsid w:val="006C6243"/>
    <w:rsid w:val="006C6CBA"/>
    <w:rsid w:val="006C7E18"/>
    <w:rsid w:val="006D0201"/>
    <w:rsid w:val="006D050B"/>
    <w:rsid w:val="006D1EA1"/>
    <w:rsid w:val="006D5A4A"/>
    <w:rsid w:val="006D6B14"/>
    <w:rsid w:val="006E2420"/>
    <w:rsid w:val="006E2791"/>
    <w:rsid w:val="006F38B5"/>
    <w:rsid w:val="006F45A5"/>
    <w:rsid w:val="006F496D"/>
    <w:rsid w:val="00703477"/>
    <w:rsid w:val="00704FDF"/>
    <w:rsid w:val="00705485"/>
    <w:rsid w:val="00706E8A"/>
    <w:rsid w:val="007071F7"/>
    <w:rsid w:val="00707E3A"/>
    <w:rsid w:val="00715022"/>
    <w:rsid w:val="007204E5"/>
    <w:rsid w:val="007228D6"/>
    <w:rsid w:val="00723B17"/>
    <w:rsid w:val="00724722"/>
    <w:rsid w:val="00727123"/>
    <w:rsid w:val="0072792B"/>
    <w:rsid w:val="0073089C"/>
    <w:rsid w:val="00730C34"/>
    <w:rsid w:val="00732B80"/>
    <w:rsid w:val="0073405A"/>
    <w:rsid w:val="007355F5"/>
    <w:rsid w:val="00737AA3"/>
    <w:rsid w:val="00741489"/>
    <w:rsid w:val="00741946"/>
    <w:rsid w:val="00741AB8"/>
    <w:rsid w:val="00741BE3"/>
    <w:rsid w:val="00746B39"/>
    <w:rsid w:val="007472E2"/>
    <w:rsid w:val="00751519"/>
    <w:rsid w:val="00752680"/>
    <w:rsid w:val="00753A7B"/>
    <w:rsid w:val="00754544"/>
    <w:rsid w:val="00756681"/>
    <w:rsid w:val="00756E88"/>
    <w:rsid w:val="00760B16"/>
    <w:rsid w:val="007618F6"/>
    <w:rsid w:val="00762F0E"/>
    <w:rsid w:val="00763722"/>
    <w:rsid w:val="0076477F"/>
    <w:rsid w:val="0076547F"/>
    <w:rsid w:val="00770775"/>
    <w:rsid w:val="00770E80"/>
    <w:rsid w:val="007717ED"/>
    <w:rsid w:val="00772184"/>
    <w:rsid w:val="0077288D"/>
    <w:rsid w:val="00773F29"/>
    <w:rsid w:val="00774528"/>
    <w:rsid w:val="0077592A"/>
    <w:rsid w:val="00776C2E"/>
    <w:rsid w:val="007770D3"/>
    <w:rsid w:val="00777BF4"/>
    <w:rsid w:val="00780E72"/>
    <w:rsid w:val="0078147F"/>
    <w:rsid w:val="007816B6"/>
    <w:rsid w:val="007816F5"/>
    <w:rsid w:val="0078536D"/>
    <w:rsid w:val="007869FC"/>
    <w:rsid w:val="00790C75"/>
    <w:rsid w:val="007911EA"/>
    <w:rsid w:val="00792339"/>
    <w:rsid w:val="00793323"/>
    <w:rsid w:val="00794011"/>
    <w:rsid w:val="00796CE3"/>
    <w:rsid w:val="007970A5"/>
    <w:rsid w:val="007A1702"/>
    <w:rsid w:val="007A2A39"/>
    <w:rsid w:val="007A3C7F"/>
    <w:rsid w:val="007A5B08"/>
    <w:rsid w:val="007A75AC"/>
    <w:rsid w:val="007B10E0"/>
    <w:rsid w:val="007B246D"/>
    <w:rsid w:val="007B3277"/>
    <w:rsid w:val="007B3954"/>
    <w:rsid w:val="007B452F"/>
    <w:rsid w:val="007B4EB6"/>
    <w:rsid w:val="007B4EB8"/>
    <w:rsid w:val="007B5F64"/>
    <w:rsid w:val="007B761A"/>
    <w:rsid w:val="007C0876"/>
    <w:rsid w:val="007C1847"/>
    <w:rsid w:val="007C5EC0"/>
    <w:rsid w:val="007D0087"/>
    <w:rsid w:val="007D1CAF"/>
    <w:rsid w:val="007D4170"/>
    <w:rsid w:val="007D58E4"/>
    <w:rsid w:val="007D60B4"/>
    <w:rsid w:val="007D751C"/>
    <w:rsid w:val="007E1D9E"/>
    <w:rsid w:val="007E5183"/>
    <w:rsid w:val="007E711C"/>
    <w:rsid w:val="007E716D"/>
    <w:rsid w:val="007F26BF"/>
    <w:rsid w:val="007F2881"/>
    <w:rsid w:val="007F36E2"/>
    <w:rsid w:val="0080128A"/>
    <w:rsid w:val="00803AA7"/>
    <w:rsid w:val="00804544"/>
    <w:rsid w:val="00811E1B"/>
    <w:rsid w:val="00813A66"/>
    <w:rsid w:val="0081542C"/>
    <w:rsid w:val="00816526"/>
    <w:rsid w:val="008248CF"/>
    <w:rsid w:val="008320D6"/>
    <w:rsid w:val="008340AD"/>
    <w:rsid w:val="00834B77"/>
    <w:rsid w:val="00834F56"/>
    <w:rsid w:val="00837503"/>
    <w:rsid w:val="00840016"/>
    <w:rsid w:val="008413A6"/>
    <w:rsid w:val="00841C95"/>
    <w:rsid w:val="008438DB"/>
    <w:rsid w:val="0084449F"/>
    <w:rsid w:val="00844F35"/>
    <w:rsid w:val="008456D7"/>
    <w:rsid w:val="008500F0"/>
    <w:rsid w:val="008573F2"/>
    <w:rsid w:val="00857C14"/>
    <w:rsid w:val="0086153C"/>
    <w:rsid w:val="00864EE9"/>
    <w:rsid w:val="00873B9F"/>
    <w:rsid w:val="0088164B"/>
    <w:rsid w:val="00881C61"/>
    <w:rsid w:val="00882A0C"/>
    <w:rsid w:val="00883B48"/>
    <w:rsid w:val="00883C10"/>
    <w:rsid w:val="00883D7A"/>
    <w:rsid w:val="00885569"/>
    <w:rsid w:val="00887F6E"/>
    <w:rsid w:val="008932E5"/>
    <w:rsid w:val="00893EE6"/>
    <w:rsid w:val="00894354"/>
    <w:rsid w:val="008950C8"/>
    <w:rsid w:val="008A1635"/>
    <w:rsid w:val="008A3D9F"/>
    <w:rsid w:val="008A41DB"/>
    <w:rsid w:val="008A5AD0"/>
    <w:rsid w:val="008A5E76"/>
    <w:rsid w:val="008A6678"/>
    <w:rsid w:val="008B1D1E"/>
    <w:rsid w:val="008B43DB"/>
    <w:rsid w:val="008B5D7C"/>
    <w:rsid w:val="008C1ABA"/>
    <w:rsid w:val="008C259F"/>
    <w:rsid w:val="008C3BDF"/>
    <w:rsid w:val="008C64D3"/>
    <w:rsid w:val="008C698E"/>
    <w:rsid w:val="008D3D8A"/>
    <w:rsid w:val="008D6019"/>
    <w:rsid w:val="008E1994"/>
    <w:rsid w:val="008E3438"/>
    <w:rsid w:val="008E758C"/>
    <w:rsid w:val="008F058F"/>
    <w:rsid w:val="008F23B0"/>
    <w:rsid w:val="008F330C"/>
    <w:rsid w:val="008F6BA4"/>
    <w:rsid w:val="00903875"/>
    <w:rsid w:val="00903AE9"/>
    <w:rsid w:val="00910345"/>
    <w:rsid w:val="009135AC"/>
    <w:rsid w:val="0091418D"/>
    <w:rsid w:val="00914204"/>
    <w:rsid w:val="009142EC"/>
    <w:rsid w:val="00920DA9"/>
    <w:rsid w:val="00923211"/>
    <w:rsid w:val="00923C2D"/>
    <w:rsid w:val="009260F2"/>
    <w:rsid w:val="0092628D"/>
    <w:rsid w:val="00926D73"/>
    <w:rsid w:val="00927DFB"/>
    <w:rsid w:val="00927F0F"/>
    <w:rsid w:val="0093122D"/>
    <w:rsid w:val="00933299"/>
    <w:rsid w:val="009335A2"/>
    <w:rsid w:val="009358EF"/>
    <w:rsid w:val="00935C51"/>
    <w:rsid w:val="009368D4"/>
    <w:rsid w:val="009403D0"/>
    <w:rsid w:val="00941BEB"/>
    <w:rsid w:val="009430C0"/>
    <w:rsid w:val="0094523C"/>
    <w:rsid w:val="00945528"/>
    <w:rsid w:val="0094724B"/>
    <w:rsid w:val="0095112D"/>
    <w:rsid w:val="00951E97"/>
    <w:rsid w:val="00953BA5"/>
    <w:rsid w:val="009549BC"/>
    <w:rsid w:val="009556E9"/>
    <w:rsid w:val="00955DCE"/>
    <w:rsid w:val="009574E3"/>
    <w:rsid w:val="00970998"/>
    <w:rsid w:val="00970DD0"/>
    <w:rsid w:val="00976D51"/>
    <w:rsid w:val="0097700A"/>
    <w:rsid w:val="00977705"/>
    <w:rsid w:val="00977F4C"/>
    <w:rsid w:val="00980055"/>
    <w:rsid w:val="0098291F"/>
    <w:rsid w:val="009829D6"/>
    <w:rsid w:val="009846F0"/>
    <w:rsid w:val="0098549A"/>
    <w:rsid w:val="00987390"/>
    <w:rsid w:val="00994BD5"/>
    <w:rsid w:val="00995234"/>
    <w:rsid w:val="0099568F"/>
    <w:rsid w:val="009A17E3"/>
    <w:rsid w:val="009A3A66"/>
    <w:rsid w:val="009A48AA"/>
    <w:rsid w:val="009A4B1B"/>
    <w:rsid w:val="009A68F2"/>
    <w:rsid w:val="009A7123"/>
    <w:rsid w:val="009B09E3"/>
    <w:rsid w:val="009B453C"/>
    <w:rsid w:val="009B597E"/>
    <w:rsid w:val="009C00C8"/>
    <w:rsid w:val="009C5F9F"/>
    <w:rsid w:val="009D08CF"/>
    <w:rsid w:val="009D3631"/>
    <w:rsid w:val="009D670F"/>
    <w:rsid w:val="009E2000"/>
    <w:rsid w:val="009E694F"/>
    <w:rsid w:val="009F3ABA"/>
    <w:rsid w:val="009F5581"/>
    <w:rsid w:val="00A00E13"/>
    <w:rsid w:val="00A01890"/>
    <w:rsid w:val="00A02B40"/>
    <w:rsid w:val="00A05E5F"/>
    <w:rsid w:val="00A06ECC"/>
    <w:rsid w:val="00A106D9"/>
    <w:rsid w:val="00A113E3"/>
    <w:rsid w:val="00A127E0"/>
    <w:rsid w:val="00A13242"/>
    <w:rsid w:val="00A16F57"/>
    <w:rsid w:val="00A17388"/>
    <w:rsid w:val="00A24E7C"/>
    <w:rsid w:val="00A2546C"/>
    <w:rsid w:val="00A308B2"/>
    <w:rsid w:val="00A3111B"/>
    <w:rsid w:val="00A3184D"/>
    <w:rsid w:val="00A32BF1"/>
    <w:rsid w:val="00A339C6"/>
    <w:rsid w:val="00A344B6"/>
    <w:rsid w:val="00A35E54"/>
    <w:rsid w:val="00A40346"/>
    <w:rsid w:val="00A40D92"/>
    <w:rsid w:val="00A428DC"/>
    <w:rsid w:val="00A42AC8"/>
    <w:rsid w:val="00A43FE4"/>
    <w:rsid w:val="00A44352"/>
    <w:rsid w:val="00A450DE"/>
    <w:rsid w:val="00A45873"/>
    <w:rsid w:val="00A46616"/>
    <w:rsid w:val="00A471DA"/>
    <w:rsid w:val="00A516E2"/>
    <w:rsid w:val="00A51D55"/>
    <w:rsid w:val="00A531E4"/>
    <w:rsid w:val="00A571FF"/>
    <w:rsid w:val="00A60A87"/>
    <w:rsid w:val="00A62C41"/>
    <w:rsid w:val="00A643C0"/>
    <w:rsid w:val="00A6456A"/>
    <w:rsid w:val="00A654BE"/>
    <w:rsid w:val="00A67556"/>
    <w:rsid w:val="00A67772"/>
    <w:rsid w:val="00A70488"/>
    <w:rsid w:val="00A70675"/>
    <w:rsid w:val="00A70C3C"/>
    <w:rsid w:val="00A72578"/>
    <w:rsid w:val="00A77788"/>
    <w:rsid w:val="00A80282"/>
    <w:rsid w:val="00A8030A"/>
    <w:rsid w:val="00A816FF"/>
    <w:rsid w:val="00A84018"/>
    <w:rsid w:val="00A9019A"/>
    <w:rsid w:val="00A96369"/>
    <w:rsid w:val="00A97139"/>
    <w:rsid w:val="00AA2CE3"/>
    <w:rsid w:val="00AA4574"/>
    <w:rsid w:val="00AA4C29"/>
    <w:rsid w:val="00AA6448"/>
    <w:rsid w:val="00AA7B94"/>
    <w:rsid w:val="00AA7C65"/>
    <w:rsid w:val="00AB0009"/>
    <w:rsid w:val="00AB06E5"/>
    <w:rsid w:val="00AB66D1"/>
    <w:rsid w:val="00AB74D1"/>
    <w:rsid w:val="00AB7A70"/>
    <w:rsid w:val="00AC07F1"/>
    <w:rsid w:val="00AC2F33"/>
    <w:rsid w:val="00AC62D9"/>
    <w:rsid w:val="00AD12BB"/>
    <w:rsid w:val="00AD254A"/>
    <w:rsid w:val="00AD3A11"/>
    <w:rsid w:val="00AD51AF"/>
    <w:rsid w:val="00AD5E8E"/>
    <w:rsid w:val="00AD74C0"/>
    <w:rsid w:val="00AE37FB"/>
    <w:rsid w:val="00AE55E1"/>
    <w:rsid w:val="00AE6767"/>
    <w:rsid w:val="00AE71CD"/>
    <w:rsid w:val="00AE72F4"/>
    <w:rsid w:val="00AF1099"/>
    <w:rsid w:val="00AF18EE"/>
    <w:rsid w:val="00AF1BEB"/>
    <w:rsid w:val="00AF4CB5"/>
    <w:rsid w:val="00AF61A9"/>
    <w:rsid w:val="00AF7AF8"/>
    <w:rsid w:val="00B01ACD"/>
    <w:rsid w:val="00B05964"/>
    <w:rsid w:val="00B05A52"/>
    <w:rsid w:val="00B0738A"/>
    <w:rsid w:val="00B0795B"/>
    <w:rsid w:val="00B1172F"/>
    <w:rsid w:val="00B1792C"/>
    <w:rsid w:val="00B17F7F"/>
    <w:rsid w:val="00B25716"/>
    <w:rsid w:val="00B26F3C"/>
    <w:rsid w:val="00B3053A"/>
    <w:rsid w:val="00B3167D"/>
    <w:rsid w:val="00B35453"/>
    <w:rsid w:val="00B41EEB"/>
    <w:rsid w:val="00B43DA3"/>
    <w:rsid w:val="00B4542A"/>
    <w:rsid w:val="00B45B43"/>
    <w:rsid w:val="00B46358"/>
    <w:rsid w:val="00B47233"/>
    <w:rsid w:val="00B4799D"/>
    <w:rsid w:val="00B50BE3"/>
    <w:rsid w:val="00B56444"/>
    <w:rsid w:val="00B56F05"/>
    <w:rsid w:val="00B60010"/>
    <w:rsid w:val="00B60917"/>
    <w:rsid w:val="00B63A55"/>
    <w:rsid w:val="00B66C1D"/>
    <w:rsid w:val="00B701D6"/>
    <w:rsid w:val="00B71382"/>
    <w:rsid w:val="00B742D8"/>
    <w:rsid w:val="00B74E8E"/>
    <w:rsid w:val="00B77142"/>
    <w:rsid w:val="00B800D6"/>
    <w:rsid w:val="00B801D3"/>
    <w:rsid w:val="00B81C89"/>
    <w:rsid w:val="00B81D23"/>
    <w:rsid w:val="00B8274B"/>
    <w:rsid w:val="00B82BF6"/>
    <w:rsid w:val="00B83314"/>
    <w:rsid w:val="00B854CF"/>
    <w:rsid w:val="00B919BE"/>
    <w:rsid w:val="00B94E44"/>
    <w:rsid w:val="00B96994"/>
    <w:rsid w:val="00BA344F"/>
    <w:rsid w:val="00BA3772"/>
    <w:rsid w:val="00BA43EC"/>
    <w:rsid w:val="00BA4CAF"/>
    <w:rsid w:val="00BA7662"/>
    <w:rsid w:val="00BA7A04"/>
    <w:rsid w:val="00BB23B7"/>
    <w:rsid w:val="00BB3BAE"/>
    <w:rsid w:val="00BB4004"/>
    <w:rsid w:val="00BB4CD1"/>
    <w:rsid w:val="00BB5A2B"/>
    <w:rsid w:val="00BB7155"/>
    <w:rsid w:val="00BB78B0"/>
    <w:rsid w:val="00BC444B"/>
    <w:rsid w:val="00BC473B"/>
    <w:rsid w:val="00BC4E15"/>
    <w:rsid w:val="00BC5B7F"/>
    <w:rsid w:val="00BC5FC9"/>
    <w:rsid w:val="00BD1314"/>
    <w:rsid w:val="00BD15FA"/>
    <w:rsid w:val="00BD19B1"/>
    <w:rsid w:val="00BD2E68"/>
    <w:rsid w:val="00BD538D"/>
    <w:rsid w:val="00BD5A3A"/>
    <w:rsid w:val="00BD678F"/>
    <w:rsid w:val="00BD6B94"/>
    <w:rsid w:val="00BD6DE5"/>
    <w:rsid w:val="00BD797A"/>
    <w:rsid w:val="00BD7BF0"/>
    <w:rsid w:val="00BE2597"/>
    <w:rsid w:val="00BE59FA"/>
    <w:rsid w:val="00BE6F8D"/>
    <w:rsid w:val="00BF01E0"/>
    <w:rsid w:val="00BF0796"/>
    <w:rsid w:val="00BF1439"/>
    <w:rsid w:val="00BF4DC6"/>
    <w:rsid w:val="00C00232"/>
    <w:rsid w:val="00C008EB"/>
    <w:rsid w:val="00C03336"/>
    <w:rsid w:val="00C04ADD"/>
    <w:rsid w:val="00C057CE"/>
    <w:rsid w:val="00C0746C"/>
    <w:rsid w:val="00C11008"/>
    <w:rsid w:val="00C124A9"/>
    <w:rsid w:val="00C15020"/>
    <w:rsid w:val="00C16B56"/>
    <w:rsid w:val="00C173C2"/>
    <w:rsid w:val="00C20062"/>
    <w:rsid w:val="00C265EE"/>
    <w:rsid w:val="00C271D9"/>
    <w:rsid w:val="00C27A51"/>
    <w:rsid w:val="00C33956"/>
    <w:rsid w:val="00C34C4A"/>
    <w:rsid w:val="00C41D5E"/>
    <w:rsid w:val="00C41E17"/>
    <w:rsid w:val="00C42BDE"/>
    <w:rsid w:val="00C4302F"/>
    <w:rsid w:val="00C45D1F"/>
    <w:rsid w:val="00C46EDB"/>
    <w:rsid w:val="00C50DC3"/>
    <w:rsid w:val="00C51EE7"/>
    <w:rsid w:val="00C53F3B"/>
    <w:rsid w:val="00C5451C"/>
    <w:rsid w:val="00C54FAE"/>
    <w:rsid w:val="00C552B3"/>
    <w:rsid w:val="00C5749D"/>
    <w:rsid w:val="00C57775"/>
    <w:rsid w:val="00C652CA"/>
    <w:rsid w:val="00C657B8"/>
    <w:rsid w:val="00C7123B"/>
    <w:rsid w:val="00C724F6"/>
    <w:rsid w:val="00C73E8B"/>
    <w:rsid w:val="00C75E55"/>
    <w:rsid w:val="00C77BF4"/>
    <w:rsid w:val="00C809EC"/>
    <w:rsid w:val="00C814F1"/>
    <w:rsid w:val="00C834D2"/>
    <w:rsid w:val="00C83C5D"/>
    <w:rsid w:val="00C847DB"/>
    <w:rsid w:val="00C86846"/>
    <w:rsid w:val="00C86A61"/>
    <w:rsid w:val="00C86BDD"/>
    <w:rsid w:val="00C94BEB"/>
    <w:rsid w:val="00C95446"/>
    <w:rsid w:val="00C95EB4"/>
    <w:rsid w:val="00CA0E83"/>
    <w:rsid w:val="00CA51DB"/>
    <w:rsid w:val="00CA7CA6"/>
    <w:rsid w:val="00CB0723"/>
    <w:rsid w:val="00CB1F23"/>
    <w:rsid w:val="00CB3689"/>
    <w:rsid w:val="00CB505B"/>
    <w:rsid w:val="00CB5A61"/>
    <w:rsid w:val="00CB7B53"/>
    <w:rsid w:val="00CC170D"/>
    <w:rsid w:val="00CC4D9E"/>
    <w:rsid w:val="00CC6DF2"/>
    <w:rsid w:val="00CC74BC"/>
    <w:rsid w:val="00CD0731"/>
    <w:rsid w:val="00CD0F13"/>
    <w:rsid w:val="00CD12BF"/>
    <w:rsid w:val="00CD2F24"/>
    <w:rsid w:val="00CE187D"/>
    <w:rsid w:val="00CE18FA"/>
    <w:rsid w:val="00CE2D49"/>
    <w:rsid w:val="00CE3E62"/>
    <w:rsid w:val="00CE4C94"/>
    <w:rsid w:val="00CE4CD6"/>
    <w:rsid w:val="00CE767E"/>
    <w:rsid w:val="00CF20B1"/>
    <w:rsid w:val="00CF7596"/>
    <w:rsid w:val="00D01161"/>
    <w:rsid w:val="00D02A43"/>
    <w:rsid w:val="00D10820"/>
    <w:rsid w:val="00D118D9"/>
    <w:rsid w:val="00D12FCC"/>
    <w:rsid w:val="00D13B79"/>
    <w:rsid w:val="00D1798F"/>
    <w:rsid w:val="00D17D81"/>
    <w:rsid w:val="00D21CB4"/>
    <w:rsid w:val="00D2474A"/>
    <w:rsid w:val="00D24A5F"/>
    <w:rsid w:val="00D26A42"/>
    <w:rsid w:val="00D27D22"/>
    <w:rsid w:val="00D32C91"/>
    <w:rsid w:val="00D341F2"/>
    <w:rsid w:val="00D35842"/>
    <w:rsid w:val="00D35FC4"/>
    <w:rsid w:val="00D361C4"/>
    <w:rsid w:val="00D40241"/>
    <w:rsid w:val="00D42C9B"/>
    <w:rsid w:val="00D47EDC"/>
    <w:rsid w:val="00D51140"/>
    <w:rsid w:val="00D5210A"/>
    <w:rsid w:val="00D5284E"/>
    <w:rsid w:val="00D52EA7"/>
    <w:rsid w:val="00D62028"/>
    <w:rsid w:val="00D70673"/>
    <w:rsid w:val="00D71250"/>
    <w:rsid w:val="00D71E5D"/>
    <w:rsid w:val="00D724D4"/>
    <w:rsid w:val="00D73E95"/>
    <w:rsid w:val="00D7465B"/>
    <w:rsid w:val="00D85B9A"/>
    <w:rsid w:val="00D9131F"/>
    <w:rsid w:val="00D92701"/>
    <w:rsid w:val="00D92B89"/>
    <w:rsid w:val="00D9377A"/>
    <w:rsid w:val="00DA197B"/>
    <w:rsid w:val="00DA1BAD"/>
    <w:rsid w:val="00DA4B6F"/>
    <w:rsid w:val="00DA60C0"/>
    <w:rsid w:val="00DB5AA5"/>
    <w:rsid w:val="00DB6AA0"/>
    <w:rsid w:val="00DB6F8D"/>
    <w:rsid w:val="00DC4330"/>
    <w:rsid w:val="00DC47A3"/>
    <w:rsid w:val="00DC48BE"/>
    <w:rsid w:val="00DC4D21"/>
    <w:rsid w:val="00DC5056"/>
    <w:rsid w:val="00DC58CA"/>
    <w:rsid w:val="00DD4305"/>
    <w:rsid w:val="00DD4DBC"/>
    <w:rsid w:val="00DD7431"/>
    <w:rsid w:val="00DE0AF7"/>
    <w:rsid w:val="00DE4AF9"/>
    <w:rsid w:val="00DF0135"/>
    <w:rsid w:val="00DF2F37"/>
    <w:rsid w:val="00DF52F1"/>
    <w:rsid w:val="00DF5F25"/>
    <w:rsid w:val="00E005C0"/>
    <w:rsid w:val="00E01D72"/>
    <w:rsid w:val="00E02C20"/>
    <w:rsid w:val="00E03183"/>
    <w:rsid w:val="00E1721B"/>
    <w:rsid w:val="00E17B99"/>
    <w:rsid w:val="00E21949"/>
    <w:rsid w:val="00E22276"/>
    <w:rsid w:val="00E22501"/>
    <w:rsid w:val="00E26EDE"/>
    <w:rsid w:val="00E274DA"/>
    <w:rsid w:val="00E275E4"/>
    <w:rsid w:val="00E308CE"/>
    <w:rsid w:val="00E33796"/>
    <w:rsid w:val="00E362BA"/>
    <w:rsid w:val="00E409A2"/>
    <w:rsid w:val="00E42513"/>
    <w:rsid w:val="00E47D8F"/>
    <w:rsid w:val="00E502AA"/>
    <w:rsid w:val="00E503EE"/>
    <w:rsid w:val="00E527A0"/>
    <w:rsid w:val="00E52C82"/>
    <w:rsid w:val="00E52DF7"/>
    <w:rsid w:val="00E56242"/>
    <w:rsid w:val="00E56311"/>
    <w:rsid w:val="00E56C9D"/>
    <w:rsid w:val="00E61394"/>
    <w:rsid w:val="00E65DA2"/>
    <w:rsid w:val="00E669D7"/>
    <w:rsid w:val="00E66B2B"/>
    <w:rsid w:val="00E67C0C"/>
    <w:rsid w:val="00E71E90"/>
    <w:rsid w:val="00E72DD2"/>
    <w:rsid w:val="00E7303F"/>
    <w:rsid w:val="00E76716"/>
    <w:rsid w:val="00E77AD0"/>
    <w:rsid w:val="00E87383"/>
    <w:rsid w:val="00E87DEE"/>
    <w:rsid w:val="00E91EDF"/>
    <w:rsid w:val="00E9661E"/>
    <w:rsid w:val="00E97797"/>
    <w:rsid w:val="00EA1A24"/>
    <w:rsid w:val="00EA25C9"/>
    <w:rsid w:val="00EA2C14"/>
    <w:rsid w:val="00EA59E1"/>
    <w:rsid w:val="00EB16EB"/>
    <w:rsid w:val="00EB1721"/>
    <w:rsid w:val="00EB3C81"/>
    <w:rsid w:val="00EB4E0A"/>
    <w:rsid w:val="00EB5B53"/>
    <w:rsid w:val="00EB5FC2"/>
    <w:rsid w:val="00EC4EA0"/>
    <w:rsid w:val="00EC5A14"/>
    <w:rsid w:val="00EC6061"/>
    <w:rsid w:val="00EC62CE"/>
    <w:rsid w:val="00EC7CA1"/>
    <w:rsid w:val="00ED2F2A"/>
    <w:rsid w:val="00ED4600"/>
    <w:rsid w:val="00ED6844"/>
    <w:rsid w:val="00ED68F7"/>
    <w:rsid w:val="00EF0BEB"/>
    <w:rsid w:val="00EF11D9"/>
    <w:rsid w:val="00EF3ABF"/>
    <w:rsid w:val="00F00005"/>
    <w:rsid w:val="00F0006A"/>
    <w:rsid w:val="00F00D31"/>
    <w:rsid w:val="00F01887"/>
    <w:rsid w:val="00F06B95"/>
    <w:rsid w:val="00F07496"/>
    <w:rsid w:val="00F16B2E"/>
    <w:rsid w:val="00F2448D"/>
    <w:rsid w:val="00F2563B"/>
    <w:rsid w:val="00F27693"/>
    <w:rsid w:val="00F30089"/>
    <w:rsid w:val="00F321E1"/>
    <w:rsid w:val="00F3256B"/>
    <w:rsid w:val="00F336D6"/>
    <w:rsid w:val="00F344B4"/>
    <w:rsid w:val="00F376C8"/>
    <w:rsid w:val="00F405F1"/>
    <w:rsid w:val="00F42F7B"/>
    <w:rsid w:val="00F44D08"/>
    <w:rsid w:val="00F44FA8"/>
    <w:rsid w:val="00F45FD4"/>
    <w:rsid w:val="00F5162D"/>
    <w:rsid w:val="00F52D56"/>
    <w:rsid w:val="00F534EC"/>
    <w:rsid w:val="00F540A7"/>
    <w:rsid w:val="00F555A2"/>
    <w:rsid w:val="00F55A38"/>
    <w:rsid w:val="00F577B7"/>
    <w:rsid w:val="00F57DFA"/>
    <w:rsid w:val="00F61229"/>
    <w:rsid w:val="00F637A8"/>
    <w:rsid w:val="00F64EC6"/>
    <w:rsid w:val="00F679BD"/>
    <w:rsid w:val="00F71C78"/>
    <w:rsid w:val="00F72C49"/>
    <w:rsid w:val="00F73299"/>
    <w:rsid w:val="00F741B9"/>
    <w:rsid w:val="00F742FD"/>
    <w:rsid w:val="00F74C34"/>
    <w:rsid w:val="00F74FC8"/>
    <w:rsid w:val="00F76064"/>
    <w:rsid w:val="00F7756D"/>
    <w:rsid w:val="00F83F91"/>
    <w:rsid w:val="00F843BF"/>
    <w:rsid w:val="00F8450D"/>
    <w:rsid w:val="00F86EA7"/>
    <w:rsid w:val="00F8791E"/>
    <w:rsid w:val="00F90758"/>
    <w:rsid w:val="00F90CB1"/>
    <w:rsid w:val="00F90D4F"/>
    <w:rsid w:val="00F9451C"/>
    <w:rsid w:val="00F95870"/>
    <w:rsid w:val="00F974EB"/>
    <w:rsid w:val="00FA020A"/>
    <w:rsid w:val="00FA3146"/>
    <w:rsid w:val="00FA3A6E"/>
    <w:rsid w:val="00FA5CD9"/>
    <w:rsid w:val="00FA5D48"/>
    <w:rsid w:val="00FA6F45"/>
    <w:rsid w:val="00FB2453"/>
    <w:rsid w:val="00FB3A1F"/>
    <w:rsid w:val="00FB5543"/>
    <w:rsid w:val="00FB70F9"/>
    <w:rsid w:val="00FB75BB"/>
    <w:rsid w:val="00FB795F"/>
    <w:rsid w:val="00FC2CAC"/>
    <w:rsid w:val="00FC3F7B"/>
    <w:rsid w:val="00FC6C3B"/>
    <w:rsid w:val="00FD0B03"/>
    <w:rsid w:val="00FD11E8"/>
    <w:rsid w:val="00FD14A7"/>
    <w:rsid w:val="00FD313F"/>
    <w:rsid w:val="00FD4726"/>
    <w:rsid w:val="00FD5F6F"/>
    <w:rsid w:val="00FD6A6C"/>
    <w:rsid w:val="00FD78D0"/>
    <w:rsid w:val="00FE2C2B"/>
    <w:rsid w:val="00FE47D5"/>
    <w:rsid w:val="00FE5F1D"/>
    <w:rsid w:val="00FE7CF8"/>
    <w:rsid w:val="00FF3ADE"/>
    <w:rsid w:val="00FF3F11"/>
    <w:rsid w:val="00FF4C91"/>
    <w:rsid w:val="00FF58CF"/>
    <w:rsid w:val="00FF60C7"/>
    <w:rsid w:val="20BC65D4"/>
    <w:rsid w:val="4FE64658"/>
    <w:rsid w:val="633BF275"/>
    <w:rsid w:val="70F36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51" w:lineRule="auto"/>
      <w:ind w:left="10" w:hanging="9"/>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14"/>
    <w:rPr>
      <w:color w:val="0563C1" w:themeColor="hyperlink"/>
      <w:u w:val="single"/>
    </w:rPr>
  </w:style>
  <w:style w:type="character" w:styleId="UnresolvedMention">
    <w:name w:val="Unresolved Mention"/>
    <w:basedOn w:val="DefaultParagraphFont"/>
    <w:uiPriority w:val="99"/>
    <w:semiHidden/>
    <w:unhideWhenUsed/>
    <w:rsid w:val="006D6B14"/>
    <w:rPr>
      <w:color w:val="808080"/>
      <w:shd w:val="clear" w:color="auto" w:fill="E6E6E6"/>
    </w:rPr>
  </w:style>
  <w:style w:type="paragraph" w:styleId="Footer">
    <w:name w:val="footer"/>
    <w:basedOn w:val="Normal"/>
    <w:link w:val="FooterChar"/>
    <w:uiPriority w:val="99"/>
    <w:unhideWhenUsed/>
    <w:rsid w:val="0000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6A"/>
    <w:rPr>
      <w:rFonts w:ascii="Arial" w:eastAsia="Arial" w:hAnsi="Arial" w:cs="Arial"/>
      <w:color w:val="000000"/>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sid w:val="0011596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15960"/>
    <w:rPr>
      <w:b/>
      <w:bCs/>
    </w:rPr>
  </w:style>
  <w:style w:type="character" w:customStyle="1" w:styleId="CommentSubjectChar">
    <w:name w:val="Comment Subject Char"/>
    <w:basedOn w:val="CommentTextChar"/>
    <w:link w:val="CommentSubject"/>
    <w:uiPriority w:val="99"/>
    <w:semiHidden/>
    <w:rsid w:val="0011596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15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60"/>
    <w:rPr>
      <w:rFonts w:ascii="Segoe UI" w:eastAsia="Arial" w:hAnsi="Segoe UI" w:cs="Segoe UI"/>
      <w:color w:val="000000"/>
      <w:sz w:val="18"/>
      <w:szCs w:val="18"/>
    </w:rPr>
  </w:style>
  <w:style w:type="paragraph" w:styleId="Revision">
    <w:name w:val="Revision"/>
    <w:hidden/>
    <w:uiPriority w:val="99"/>
    <w:semiHidden/>
    <w:rsid w:val="00AE37FB"/>
    <w:pPr>
      <w:spacing w:after="0" w:line="240" w:lineRule="auto"/>
    </w:pPr>
    <w:rPr>
      <w:rFonts w:ascii="Arial" w:eastAsia="Arial" w:hAnsi="Arial" w:cs="Arial"/>
      <w:color w:val="000000"/>
      <w:sz w:val="20"/>
    </w:rPr>
  </w:style>
  <w:style w:type="paragraph" w:styleId="ListParagraph">
    <w:name w:val="List Paragraph"/>
    <w:basedOn w:val="Normal"/>
    <w:uiPriority w:val="34"/>
    <w:qFormat/>
    <w:rsid w:val="00881C6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903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8022">
      <w:bodyDiv w:val="1"/>
      <w:marLeft w:val="0"/>
      <w:marRight w:val="0"/>
      <w:marTop w:val="0"/>
      <w:marBottom w:val="0"/>
      <w:divBdr>
        <w:top w:val="none" w:sz="0" w:space="0" w:color="auto"/>
        <w:left w:val="none" w:sz="0" w:space="0" w:color="auto"/>
        <w:bottom w:val="none" w:sz="0" w:space="0" w:color="auto"/>
        <w:right w:val="none" w:sz="0" w:space="0" w:color="auto"/>
      </w:divBdr>
    </w:div>
    <w:div w:id="308294572">
      <w:bodyDiv w:val="1"/>
      <w:marLeft w:val="0"/>
      <w:marRight w:val="0"/>
      <w:marTop w:val="0"/>
      <w:marBottom w:val="0"/>
      <w:divBdr>
        <w:top w:val="none" w:sz="0" w:space="0" w:color="auto"/>
        <w:left w:val="none" w:sz="0" w:space="0" w:color="auto"/>
        <w:bottom w:val="none" w:sz="0" w:space="0" w:color="auto"/>
        <w:right w:val="none" w:sz="0" w:space="0" w:color="auto"/>
      </w:divBdr>
    </w:div>
    <w:div w:id="662900959">
      <w:bodyDiv w:val="1"/>
      <w:marLeft w:val="0"/>
      <w:marRight w:val="0"/>
      <w:marTop w:val="0"/>
      <w:marBottom w:val="0"/>
      <w:divBdr>
        <w:top w:val="none" w:sz="0" w:space="0" w:color="auto"/>
        <w:left w:val="none" w:sz="0" w:space="0" w:color="auto"/>
        <w:bottom w:val="none" w:sz="0" w:space="0" w:color="auto"/>
        <w:right w:val="none" w:sz="0" w:space="0" w:color="auto"/>
      </w:divBdr>
    </w:div>
    <w:div w:id="1301376795">
      <w:bodyDiv w:val="1"/>
      <w:marLeft w:val="0"/>
      <w:marRight w:val="0"/>
      <w:marTop w:val="0"/>
      <w:marBottom w:val="0"/>
      <w:divBdr>
        <w:top w:val="none" w:sz="0" w:space="0" w:color="auto"/>
        <w:left w:val="none" w:sz="0" w:space="0" w:color="auto"/>
        <w:bottom w:val="none" w:sz="0" w:space="0" w:color="auto"/>
        <w:right w:val="none" w:sz="0" w:space="0" w:color="auto"/>
      </w:divBdr>
    </w:div>
    <w:div w:id="1552617637">
      <w:bodyDiv w:val="1"/>
      <w:marLeft w:val="0"/>
      <w:marRight w:val="0"/>
      <w:marTop w:val="0"/>
      <w:marBottom w:val="0"/>
      <w:divBdr>
        <w:top w:val="none" w:sz="0" w:space="0" w:color="auto"/>
        <w:left w:val="none" w:sz="0" w:space="0" w:color="auto"/>
        <w:bottom w:val="none" w:sz="0" w:space="0" w:color="auto"/>
        <w:right w:val="none" w:sz="0" w:space="0" w:color="auto"/>
      </w:divBdr>
    </w:div>
    <w:div w:id="1559703556">
      <w:bodyDiv w:val="1"/>
      <w:marLeft w:val="0"/>
      <w:marRight w:val="0"/>
      <w:marTop w:val="0"/>
      <w:marBottom w:val="0"/>
      <w:divBdr>
        <w:top w:val="none" w:sz="0" w:space="0" w:color="auto"/>
        <w:left w:val="none" w:sz="0" w:space="0" w:color="auto"/>
        <w:bottom w:val="none" w:sz="0" w:space="0" w:color="auto"/>
        <w:right w:val="none" w:sz="0" w:space="0" w:color="auto"/>
      </w:divBdr>
    </w:div>
    <w:div w:id="1830824845">
      <w:bodyDiv w:val="1"/>
      <w:marLeft w:val="0"/>
      <w:marRight w:val="0"/>
      <w:marTop w:val="0"/>
      <w:marBottom w:val="0"/>
      <w:divBdr>
        <w:top w:val="none" w:sz="0" w:space="0" w:color="auto"/>
        <w:left w:val="none" w:sz="0" w:space="0" w:color="auto"/>
        <w:bottom w:val="none" w:sz="0" w:space="0" w:color="auto"/>
        <w:right w:val="none" w:sz="0" w:space="0" w:color="auto"/>
      </w:divBdr>
    </w:div>
    <w:div w:id="2053768875">
      <w:bodyDiv w:val="1"/>
      <w:marLeft w:val="0"/>
      <w:marRight w:val="0"/>
      <w:marTop w:val="0"/>
      <w:marBottom w:val="0"/>
      <w:divBdr>
        <w:top w:val="none" w:sz="0" w:space="0" w:color="auto"/>
        <w:left w:val="none" w:sz="0" w:space="0" w:color="auto"/>
        <w:bottom w:val="none" w:sz="0" w:space="0" w:color="auto"/>
        <w:right w:val="none" w:sz="0" w:space="0" w:color="auto"/>
      </w:divBdr>
    </w:div>
    <w:div w:id="2091735277">
      <w:bodyDiv w:val="1"/>
      <w:marLeft w:val="0"/>
      <w:marRight w:val="0"/>
      <w:marTop w:val="0"/>
      <w:marBottom w:val="0"/>
      <w:divBdr>
        <w:top w:val="none" w:sz="0" w:space="0" w:color="auto"/>
        <w:left w:val="none" w:sz="0" w:space="0" w:color="auto"/>
        <w:bottom w:val="none" w:sz="0" w:space="0" w:color="auto"/>
        <w:right w:val="none" w:sz="0" w:space="0" w:color="auto"/>
      </w:divBdr>
    </w:div>
    <w:div w:id="213498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felsenthal@worldbank.org" TargetMode="External"/><Relationship Id="rId18" Type="http://schemas.openxmlformats.org/officeDocument/2006/relationships/hyperlink" Target="http://twitter.com/BancoMundi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orldbank.org/commodities" TargetMode="External"/><Relationship Id="rId7" Type="http://schemas.openxmlformats.org/officeDocument/2006/relationships/settings" Target="settings.xml"/><Relationship Id="rId12" Type="http://schemas.openxmlformats.org/officeDocument/2006/relationships/hyperlink" Target="https://openknowledge.worldbank.org/bitstream/handle/10986/33044/9781464814693.pdf" TargetMode="External"/><Relationship Id="rId17" Type="http://schemas.openxmlformats.org/officeDocument/2006/relationships/hyperlink" Target="http://twitter.com/BancoMundi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bancomundial" TargetMode="External"/><Relationship Id="rId20" Type="http://schemas.openxmlformats.org/officeDocument/2006/relationships/hyperlink" Target="http://www.youtube.com/world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bancomundial.org/es/publication/global-economic-prospec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youtube.com/world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anchezbender@worldbank.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8365d5d9a7e03f808d968a209dc295ab">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3f5ec1c3255ad8ea796cd7683a79bd4"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45E3-B695-4C4A-A3C5-EA7E28A7E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1C5D6C-679E-4F7E-9C59-4C7C61743E22}">
  <ds:schemaRefs>
    <ds:schemaRef ds:uri="http://schemas.microsoft.com/sharepoint/v3/contenttype/forms"/>
  </ds:schemaRefs>
</ds:datastoreItem>
</file>

<file path=customXml/itemProps3.xml><?xml version="1.0" encoding="utf-8"?>
<ds:datastoreItem xmlns:ds="http://schemas.openxmlformats.org/officeDocument/2006/customXml" ds:itemID="{8A37B88B-C7D5-4F44-9E41-49D491F8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20EF2-D3DA-474E-A463-790BFFC9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2020-01-08T21:03:00Z</dcterms:created>
  <dcterms:modified xsi:type="dcterms:W3CDTF">2020-01-08T21:03:00Z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