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FF" w:rsidRDefault="00EC45FF" w:rsidP="00EC45FF">
      <w:pPr>
        <w:pStyle w:val="Normal1"/>
        <w:spacing w:after="0" w:line="240" w:lineRule="auto"/>
        <w:jc w:val="both"/>
        <w:rPr>
          <w:rFonts w:ascii="Georgia" w:hAnsi="Georgia"/>
          <w:i/>
          <w:sz w:val="24"/>
          <w:szCs w:val="24"/>
          <w:lang w:val="es-ES_tradnl"/>
        </w:rPr>
      </w:pPr>
    </w:p>
    <w:p w:rsidR="00EC45FF" w:rsidRDefault="00EC45FF" w:rsidP="00EC45FF">
      <w:pPr>
        <w:pStyle w:val="Normal1"/>
        <w:spacing w:after="0" w:line="240" w:lineRule="auto"/>
        <w:jc w:val="both"/>
        <w:rPr>
          <w:rFonts w:ascii="Georgia" w:hAnsi="Georgia"/>
          <w:i/>
          <w:sz w:val="24"/>
          <w:szCs w:val="24"/>
          <w:lang w:val="es-ES_tradnl"/>
        </w:rPr>
      </w:pP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bookmarkStart w:id="0" w:name="_tyjcwt" w:colFirst="0" w:colLast="0"/>
      <w:bookmarkEnd w:id="0"/>
      <w:r w:rsidRPr="00081B43">
        <w:rPr>
          <w:rFonts w:ascii="Georgia" w:hAnsi="Georgia"/>
          <w:b/>
          <w:i/>
          <w:sz w:val="24"/>
          <w:szCs w:val="24"/>
          <w:lang w:val="es-CO"/>
        </w:rPr>
        <w:t>TEXTO PROPUESTO</w:t>
      </w:r>
      <w:r w:rsidRPr="003A174E">
        <w:rPr>
          <w:rFonts w:ascii="Georgia" w:hAnsi="Georgia"/>
          <w:b/>
          <w:i/>
          <w:sz w:val="24"/>
          <w:szCs w:val="24"/>
          <w:lang w:val="es-CO"/>
        </w:rPr>
        <w:t xml:space="preserve"> PARA SEGUNDO DEBATE ANTE LA PLENARIA </w:t>
      </w:r>
      <w:r w:rsidRPr="003A174E">
        <w:rPr>
          <w:rFonts w:ascii="Georgia" w:hAnsi="Georgia"/>
          <w:b/>
          <w:i/>
          <w:sz w:val="24"/>
          <w:szCs w:val="24"/>
          <w:highlight w:val="yellow"/>
          <w:lang w:val="es-CO"/>
        </w:rPr>
        <w:t>DE LA HONORABLE CÁMARA DE REPRESENTANTES / DEL HONORABLE SENADO DE LA REPÚBLICA</w:t>
      </w: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bookmarkStart w:id="1" w:name="_i4g1py8dzx3b" w:colFirst="0" w:colLast="0"/>
      <w:bookmarkEnd w:id="1"/>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bookmarkStart w:id="2" w:name="_qey9dqu1ija5" w:colFirst="0" w:colLast="0"/>
      <w:bookmarkEnd w:id="2"/>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r w:rsidRPr="003A174E">
        <w:rPr>
          <w:rFonts w:ascii="Georgia" w:hAnsi="Georgia"/>
          <w:b/>
          <w:i/>
          <w:sz w:val="24"/>
          <w:szCs w:val="24"/>
          <w:lang w:val="es-CO"/>
        </w:rPr>
        <w:t>Proyecto de Ley 311 de 2019 Cámara y 227 de 2019 Senado</w:t>
      </w: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r w:rsidRPr="003A174E">
        <w:rPr>
          <w:rFonts w:ascii="Georgia" w:hAnsi="Georgia"/>
          <w:b/>
          <w:i/>
          <w:sz w:val="24"/>
          <w:szCs w:val="24"/>
          <w:lang w:val="es-CO"/>
        </w:rPr>
        <w:t xml:space="preserve">“Por el cual se expide el Plan Nacional de Desarrollo 2018-2022 </w:t>
      </w: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r w:rsidRPr="003A174E">
        <w:rPr>
          <w:rFonts w:ascii="Georgia" w:hAnsi="Georgia"/>
          <w:b/>
          <w:i/>
          <w:sz w:val="24"/>
          <w:szCs w:val="24"/>
          <w:lang w:val="es-CO"/>
        </w:rPr>
        <w:tab/>
      </w:r>
    </w:p>
    <w:p w:rsidR="00EC45FF" w:rsidRPr="003A174E" w:rsidRDefault="00EC45FF" w:rsidP="00EC45FF">
      <w:pPr>
        <w:pStyle w:val="Normal1"/>
        <w:pBdr>
          <w:top w:val="nil"/>
          <w:left w:val="nil"/>
          <w:bottom w:val="nil"/>
          <w:right w:val="nil"/>
          <w:between w:val="nil"/>
        </w:pBdr>
        <w:tabs>
          <w:tab w:val="center" w:pos="4419"/>
          <w:tab w:val="right" w:pos="8838"/>
        </w:tabs>
        <w:spacing w:after="0" w:line="240" w:lineRule="auto"/>
        <w:jc w:val="center"/>
        <w:rPr>
          <w:rFonts w:ascii="Georgia" w:hAnsi="Georgia"/>
          <w:b/>
          <w:i/>
          <w:sz w:val="24"/>
          <w:szCs w:val="24"/>
          <w:lang w:val="es-CO"/>
        </w:rPr>
      </w:pPr>
      <w:r w:rsidRPr="003A174E">
        <w:rPr>
          <w:rFonts w:ascii="Georgia" w:hAnsi="Georgia"/>
          <w:b/>
          <w:i/>
          <w:sz w:val="24"/>
          <w:szCs w:val="24"/>
          <w:lang w:val="es-CO"/>
        </w:rPr>
        <w:t>“Pacto por Colombia, Pacto por la Equidad”</w:t>
      </w:r>
    </w:p>
    <w:p w:rsidR="00EC45FF" w:rsidRPr="003A174E" w:rsidRDefault="00EC45FF" w:rsidP="00EC45FF">
      <w:pPr>
        <w:pStyle w:val="Normal1"/>
        <w:spacing w:after="0" w:line="240" w:lineRule="auto"/>
        <w:jc w:val="center"/>
        <w:rPr>
          <w:rFonts w:ascii="Georgia" w:hAnsi="Georgia"/>
          <w:i/>
          <w:sz w:val="24"/>
          <w:szCs w:val="24"/>
          <w:lang w:val="es-CO"/>
        </w:rPr>
      </w:pPr>
    </w:p>
    <w:p w:rsidR="00EC45FF" w:rsidRPr="003A174E" w:rsidRDefault="00EC45FF" w:rsidP="00EC45FF">
      <w:pPr>
        <w:pStyle w:val="Normal1"/>
        <w:spacing w:after="0" w:line="240" w:lineRule="auto"/>
        <w:jc w:val="center"/>
        <w:rPr>
          <w:rFonts w:ascii="Georgia" w:hAnsi="Georgia"/>
          <w:i/>
          <w:sz w:val="24"/>
          <w:szCs w:val="24"/>
          <w:lang w:val="es-CO"/>
        </w:rPr>
      </w:pPr>
    </w:p>
    <w:p w:rsidR="00EC45FF" w:rsidRPr="003A174E" w:rsidRDefault="00EC45FF" w:rsidP="00EC45FF">
      <w:pPr>
        <w:pStyle w:val="Normal1"/>
        <w:spacing w:after="0" w:line="240" w:lineRule="auto"/>
        <w:rPr>
          <w:rFonts w:ascii="Georgia" w:hAnsi="Georgia"/>
          <w:i/>
          <w:sz w:val="24"/>
          <w:szCs w:val="24"/>
          <w:lang w:val="es-CO"/>
        </w:rPr>
      </w:pPr>
    </w:p>
    <w:p w:rsidR="00EC45FF" w:rsidRPr="003A174E" w:rsidRDefault="00EC45FF" w:rsidP="00EC45FF">
      <w:pPr>
        <w:widowControl w:val="0"/>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EL CONGRESO DE COLOMBIA </w:t>
      </w:r>
    </w:p>
    <w:p w:rsidR="00EC45FF" w:rsidRPr="003A174E" w:rsidRDefault="00EC45FF" w:rsidP="00EC45FF">
      <w:pPr>
        <w:widowControl w:val="0"/>
        <w:spacing w:afterLines="20" w:after="48" w:line="240" w:lineRule="auto"/>
        <w:jc w:val="center"/>
        <w:rPr>
          <w:rFonts w:ascii="Georgia" w:hAnsi="Georgia"/>
          <w:i/>
          <w:sz w:val="24"/>
          <w:szCs w:val="24"/>
          <w:lang w:val="es-CO"/>
        </w:rPr>
      </w:pPr>
    </w:p>
    <w:p w:rsidR="00EC45FF" w:rsidRPr="003A174E" w:rsidRDefault="00EC45FF" w:rsidP="00EC45FF">
      <w:pPr>
        <w:widowControl w:val="0"/>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DECRETA: </w:t>
      </w:r>
    </w:p>
    <w:p w:rsidR="00EC45FF" w:rsidRPr="003A174E" w:rsidRDefault="00EC45FF" w:rsidP="00EC45FF">
      <w:pPr>
        <w:widowControl w:val="0"/>
        <w:spacing w:afterLines="20" w:after="48" w:line="240" w:lineRule="auto"/>
        <w:jc w:val="center"/>
        <w:rPr>
          <w:rFonts w:ascii="Georgia" w:hAnsi="Georgia"/>
          <w:b/>
          <w:i/>
          <w:sz w:val="24"/>
          <w:szCs w:val="24"/>
          <w:lang w:val="es-CO"/>
        </w:rPr>
      </w:pPr>
    </w:p>
    <w:p w:rsidR="00EC45FF" w:rsidRPr="003A174E" w:rsidRDefault="00EC45FF" w:rsidP="00EC45FF">
      <w:pPr>
        <w:pStyle w:val="Ttulo1"/>
        <w:spacing w:before="0" w:afterLines="20" w:after="48" w:line="240" w:lineRule="auto"/>
        <w:jc w:val="center"/>
        <w:rPr>
          <w:rFonts w:ascii="Georgia" w:hAnsi="Georgia"/>
          <w:b/>
          <w:i/>
          <w:sz w:val="24"/>
          <w:szCs w:val="24"/>
          <w:lang w:val="es-CO"/>
        </w:rPr>
      </w:pPr>
      <w:r w:rsidRPr="003A174E">
        <w:rPr>
          <w:rFonts w:ascii="Georgia" w:hAnsi="Georgia"/>
          <w:b/>
          <w:i/>
          <w:sz w:val="24"/>
          <w:szCs w:val="24"/>
          <w:lang w:val="es-CO"/>
        </w:rPr>
        <w:t>TÍTULO I</w:t>
      </w:r>
    </w:p>
    <w:p w:rsidR="00EC45FF" w:rsidRPr="003A174E" w:rsidRDefault="00EC45FF" w:rsidP="00EC45FF">
      <w:pPr>
        <w:pStyle w:val="Ttulo1"/>
        <w:spacing w:before="0" w:afterLines="20" w:after="48" w:line="240" w:lineRule="auto"/>
        <w:jc w:val="center"/>
        <w:rPr>
          <w:rFonts w:ascii="Georgia" w:hAnsi="Georgia"/>
          <w:b/>
          <w:i/>
          <w:sz w:val="24"/>
          <w:szCs w:val="24"/>
          <w:lang w:val="es-CO"/>
        </w:rPr>
      </w:pPr>
      <w:r w:rsidRPr="003A174E">
        <w:rPr>
          <w:rFonts w:ascii="Georgia" w:hAnsi="Georgia"/>
          <w:b/>
          <w:i/>
          <w:sz w:val="24"/>
          <w:szCs w:val="24"/>
          <w:lang w:val="es-CO"/>
        </w:rPr>
        <w:t>PARTE GENERAL</w:t>
      </w:r>
    </w:p>
    <w:p w:rsidR="00EC45FF" w:rsidRPr="003A174E" w:rsidRDefault="00EC45FF" w:rsidP="00EC45FF">
      <w:pPr>
        <w:pStyle w:val="Default"/>
        <w:jc w:val="center"/>
        <w:rPr>
          <w:rFonts w:ascii="Georgia" w:hAnsi="Georgia" w:cs="Arial"/>
          <w:b/>
          <w:i/>
          <w:color w:val="000000" w:themeColor="text1"/>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1°. OBJETIVOS DEL PLAN NACIONAL DE DESARROLLO. </w:t>
      </w:r>
      <w:r w:rsidRPr="003A174E">
        <w:rPr>
          <w:rFonts w:ascii="Georgia" w:hAnsi="Georgia"/>
          <w:i/>
          <w:sz w:val="24"/>
          <w:szCs w:val="24"/>
          <w:lang w:val="es-CO"/>
        </w:rPr>
        <w:t>El Plan Nacional de Desarrollo 2018-2022 “Pacto por Colombia, pacto por la equidad”, que se expide por medio de la presente Ley, tiene como objetivo sentar las bases de legalidad, emprendimiento y equidad que permitan lograr la igualdad de oportunidades para todos los colombianos, en concordancia con un proyecto de largo plazo con el que Colombia alcance los Objetivos de Desarrollo Sostenible al 2030.</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2°. PARTE INTEGRAL DE ESTA LEY.</w:t>
      </w:r>
      <w:r w:rsidRPr="003A174E">
        <w:rPr>
          <w:rFonts w:ascii="Georgia" w:hAnsi="Georgia"/>
          <w:i/>
          <w:sz w:val="24"/>
          <w:szCs w:val="24"/>
          <w:lang w:val="es-CO"/>
        </w:rPr>
        <w:t xml:space="preserve"> El documento denominado “Bases del Plan Nacional de Desarrollo 2018 - 2022: Pacto por Colombia, pacto por la equidad”, elaborado por el Gobierno nacional con la participación del Consejo Superior de la Judicatura y del Consejo Nacional de Planeación, y construido desde los territorios, con las modificaciones realizadas en el trámite legislativo, es parte integral del Plan Nacional de Desarrollo, y se incorpora a la presente Ley como un anexo.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 PACTOS DEL PLAN NACIONAL DE DESARROLLO</w:t>
      </w:r>
      <w:r w:rsidRPr="003A174E">
        <w:rPr>
          <w:rFonts w:ascii="Georgia" w:hAnsi="Georgia"/>
          <w:i/>
          <w:sz w:val="24"/>
          <w:szCs w:val="24"/>
          <w:lang w:val="es-CO"/>
        </w:rPr>
        <w:t xml:space="preserve">. El Plan Nacional de Desarrollo está compuesto por objetivos de política pública denominados pactos, concepto que refleja la importancia del aporte de todas las facetas de la sociedad en la construcción de una Colombia equitativa.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Plan se basa en los siguientes tres pactos estructurales: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1. Legalidad. </w:t>
      </w:r>
      <w:r w:rsidRPr="003A174E">
        <w:rPr>
          <w:rFonts w:ascii="Georgia" w:hAnsi="Georgia"/>
          <w:i/>
          <w:sz w:val="24"/>
          <w:szCs w:val="24"/>
          <w:lang w:val="es-CO"/>
        </w:rPr>
        <w:t>El Plan establece las bases para la protección de las libertades individuales y de los bienes públicos, para el imperio de la Ley y la garantía de los derechos humanos, para una lucha certera contra la corrupción y para el fortalecimiento de la Rama Judicial.</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2. Emprendimiento.</w:t>
      </w:r>
      <w:r w:rsidRPr="003A174E">
        <w:rPr>
          <w:rFonts w:ascii="Georgia" w:hAnsi="Georgia"/>
          <w:i/>
          <w:sz w:val="24"/>
          <w:szCs w:val="24"/>
          <w:lang w:val="es-CO"/>
        </w:rPr>
        <w:t xml:space="preserve"> Sobre el sustento de la legalidad, el Plan plantea expandir las oportunidades de los colombianos a través del estímulo al emprendimiento, la formalización del trabajo y las actividades económicas, y el fortalecimiento del tejido empresarial en las ciudades y en el campo.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3. Equidad.</w:t>
      </w:r>
      <w:r w:rsidRPr="003A174E">
        <w:rPr>
          <w:rFonts w:ascii="Georgia" w:hAnsi="Georgia"/>
          <w:i/>
          <w:sz w:val="24"/>
          <w:szCs w:val="24"/>
          <w:lang w:val="es-CO"/>
        </w:rPr>
        <w:t xml:space="preserve"> Como resultado final, el Plan busca la igualdad de oportunidades para todos, por medio de una política social moderna orientada a lograr la inclusión social y la inclusión productiva de los colombianos, y que se centra en las familias como los principales vehículos para la construcción de lazos de solidaridad y de tejido social.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logro de estos objetivos requiere de algunas condiciones habilitantes que permitan acelerar el cambio social. Por lo tanto, el Plan contempla los siguientes pactos que contienen estrategias transversales: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Pacto por la sostenibilidad: producir conservando y conservar produciendo.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Pacto por la ciencia, la tecnología y la innovación: un sistema para construir el conocimiento de la Colombia del futuro.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Pacto por el transporte y la logística para la competitividad y la integración regional.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Pacto por la transformación digital de Colombia: Gobierno, empresas y hogares conectados con la era del conocimiento.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Pacto por la calidad y eficiencia de los servicios públicos: agua y energía para promover la competitividad y el bienestar de todos.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9. Pacto por los recursos minero-energéticos para el crecimiento sostenible y la expansión de oportunidades.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 Pacto por la protección y promoción de nuestra cultura y desarrollo de la economía naranja.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11. Pacto por la construcción de paz: cultura de la legalidad, convivencia, estabilización y víctimas.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12. Pacto por la equidad de oportunidades para grupos indígenas, negros, afros, raizales, palenqueros y Rrom.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 Pacto por la inclusión de todas las personas con discapacidad.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14. Pacto por la equidad de las mujeres.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15. Pacto por una gestión pública efectiva.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Así mismo, el Plan integra una visión territorial basada en la importancia de conectar territorios, gobiernos y poblaciones. Esto se ve reflejado los siguientes pactos: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16. Pacto por la descentralización: conectar territorios, gobiernos y poblaciones.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17 - 25. Pacto por la productividad y la equidad en las regiones: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Pacífico: Diversidad para la equidad, la convivencia pacífica y el desarrollo sostenible.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Caribe: Una transformación para la igualdad de oportunidades y la equidad.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 xml:space="preserve">Seaflower Region: Por una región próspera, segura y sostenible. </w:t>
      </w:r>
    </w:p>
    <w:p w:rsidR="00EC45FF" w:rsidRPr="003A174E" w:rsidRDefault="00EC45FF" w:rsidP="00EC45FF">
      <w:pPr>
        <w:spacing w:afterLines="20" w:after="48" w:line="240" w:lineRule="auto"/>
        <w:ind w:left="705" w:hanging="705"/>
        <w:jc w:val="both"/>
        <w:rPr>
          <w:rFonts w:ascii="Georgia" w:hAnsi="Georgia"/>
          <w:i/>
          <w:sz w:val="24"/>
          <w:szCs w:val="24"/>
          <w:lang w:val="es-CO"/>
        </w:rPr>
      </w:pP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Central: Centro de innovación y nodo logístico de integración productiva nacional e internacional.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Santanderes: Eje logístico, competitivo y sostenible de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Amazonía: Desarrollo sostenible por una Amazonía viva.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Eje Cafetero y Antioquia: Conectar para la competitividad y el desarrollo logístico      sostenible.</w:t>
      </w:r>
    </w:p>
    <w:p w:rsidR="00EC45FF" w:rsidRPr="003A174E" w:rsidRDefault="00EC45FF" w:rsidP="00EC45FF">
      <w:pPr>
        <w:spacing w:afterLines="20" w:after="48" w:line="240" w:lineRule="auto"/>
        <w:ind w:left="705" w:hanging="705"/>
        <w:jc w:val="both"/>
        <w:rPr>
          <w:rFonts w:ascii="Georgia" w:hAnsi="Georgia"/>
          <w:i/>
          <w:sz w:val="24"/>
          <w:szCs w:val="24"/>
          <w:lang w:val="es-CO"/>
        </w:rPr>
      </w:pP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Llanos - Orinoquía: Conectar y potenciar la despensa sostenible de la región con el país y el mundo.</w:t>
      </w:r>
    </w:p>
    <w:p w:rsidR="00EC45FF" w:rsidRPr="003A174E" w:rsidRDefault="00EC45FF" w:rsidP="00EC45FF">
      <w:pPr>
        <w:spacing w:afterLines="20" w:after="48" w:line="240" w:lineRule="auto"/>
        <w:ind w:left="705" w:hanging="705"/>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Región Océanos: Colombia, potencia bioceánica.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Default"/>
        <w:jc w:val="center"/>
        <w:rPr>
          <w:rFonts w:ascii="Georgia" w:hAnsi="Georgia" w:cs="Arial"/>
          <w:b/>
          <w:i/>
          <w:color w:val="auto"/>
          <w:lang w:val="es-CO"/>
        </w:rPr>
      </w:pPr>
      <w:r w:rsidRPr="003A174E">
        <w:rPr>
          <w:rFonts w:ascii="Georgia" w:hAnsi="Georgia" w:cs="Arial"/>
          <w:b/>
          <w:i/>
          <w:color w:val="auto"/>
          <w:lang w:val="es-CO"/>
        </w:rPr>
        <w:t>TÍTULO II</w:t>
      </w:r>
    </w:p>
    <w:p w:rsidR="00EC45FF" w:rsidRPr="003A174E" w:rsidRDefault="00EC45FF" w:rsidP="00EC45FF">
      <w:pPr>
        <w:pStyle w:val="Default"/>
        <w:jc w:val="center"/>
        <w:rPr>
          <w:rFonts w:ascii="Georgia" w:hAnsi="Georgia" w:cs="Arial"/>
          <w:b/>
          <w:i/>
          <w:color w:val="auto"/>
          <w:lang w:val="es-CO"/>
        </w:rPr>
      </w:pPr>
    </w:p>
    <w:p w:rsidR="00EC45FF" w:rsidRPr="003A174E" w:rsidRDefault="00EC45FF" w:rsidP="00EC45FF">
      <w:pPr>
        <w:pStyle w:val="Default"/>
        <w:jc w:val="center"/>
        <w:rPr>
          <w:rFonts w:ascii="Georgia" w:hAnsi="Georgia" w:cs="Arial"/>
          <w:b/>
          <w:i/>
          <w:color w:val="auto"/>
          <w:lang w:val="es-CO"/>
        </w:rPr>
      </w:pPr>
      <w:r w:rsidRPr="003A174E">
        <w:rPr>
          <w:rFonts w:ascii="Georgia" w:hAnsi="Georgia" w:cs="Arial"/>
          <w:b/>
          <w:i/>
          <w:color w:val="auto"/>
          <w:lang w:val="es-CO"/>
        </w:rPr>
        <w:t xml:space="preserve">CAPÍTULO I. </w:t>
      </w:r>
    </w:p>
    <w:p w:rsidR="00EC45FF" w:rsidRPr="003A174E" w:rsidRDefault="00EC45FF" w:rsidP="00EC45FF">
      <w:pPr>
        <w:pStyle w:val="Default"/>
        <w:jc w:val="center"/>
        <w:rPr>
          <w:rFonts w:ascii="Georgia" w:hAnsi="Georgia" w:cs="Arial"/>
          <w:b/>
          <w:i/>
          <w:color w:val="auto"/>
          <w:lang w:val="es-CO"/>
        </w:rPr>
      </w:pPr>
      <w:r w:rsidRPr="003A174E">
        <w:rPr>
          <w:rFonts w:ascii="Georgia" w:hAnsi="Georgia" w:cs="Arial"/>
          <w:b/>
          <w:i/>
          <w:color w:val="auto"/>
          <w:lang w:val="es-CO"/>
        </w:rPr>
        <w:t>PLAN DE INVERSIONES Y PRESUPUESTOS PLURIANUALES</w:t>
      </w:r>
    </w:p>
    <w:p w:rsidR="00EC45FF" w:rsidRPr="003A174E" w:rsidRDefault="00EC45FF" w:rsidP="00EC45FF">
      <w:pPr>
        <w:pStyle w:val="Default"/>
        <w:jc w:val="center"/>
        <w:rPr>
          <w:rFonts w:ascii="Georgia" w:hAnsi="Georgia" w:cs="Arial"/>
          <w:b/>
          <w:i/>
          <w:color w:val="auto"/>
          <w:lang w:val="es-CO"/>
        </w:rPr>
      </w:pPr>
    </w:p>
    <w:p w:rsidR="00EC45FF" w:rsidRPr="003A174E" w:rsidRDefault="00EC45FF" w:rsidP="00EC45FF">
      <w:pPr>
        <w:jc w:val="both"/>
        <w:rPr>
          <w:rFonts w:ascii="Georgia" w:hAnsi="Georgia"/>
          <w:i/>
          <w:sz w:val="24"/>
          <w:szCs w:val="24"/>
          <w:lang w:val="es-ES_tradnl"/>
        </w:rPr>
      </w:pPr>
      <w:r w:rsidRPr="003A174E">
        <w:rPr>
          <w:rFonts w:ascii="Georgia" w:hAnsi="Georgia"/>
          <w:b/>
          <w:i/>
          <w:sz w:val="24"/>
          <w:szCs w:val="24"/>
          <w:lang w:val="es-ES_tradnl"/>
        </w:rPr>
        <w:t>ARTÍCULO 4º. PLAN NACIONAL DE INVERSIONES PÚBLICAS 2019-2022</w:t>
      </w:r>
      <w:r w:rsidRPr="003A174E">
        <w:rPr>
          <w:rFonts w:ascii="Georgia" w:hAnsi="Georgia"/>
          <w:i/>
          <w:sz w:val="24"/>
          <w:szCs w:val="24"/>
          <w:lang w:val="es-ES_tradnl"/>
        </w:rPr>
        <w:t>. El Plan Nacional de Inversiones Públicas 2019-2022 se estima en un valor de mil noventa y seis, coma uno ($1.096,1) billones, a pesos constantes de 2018, el cual incluye el componente Plan Plurianual de Inversiones para la Paz de forma transversal y que se estima en un valor de treinta y siete coma uno ($37,1) billones, a pesos constantes de 2018.</w:t>
      </w:r>
    </w:p>
    <w:p w:rsidR="00EC45FF" w:rsidRPr="003A174E" w:rsidRDefault="00EC45FF" w:rsidP="00EC45FF">
      <w:pPr>
        <w:jc w:val="both"/>
        <w:rPr>
          <w:rFonts w:ascii="Georgia" w:hAnsi="Georgia"/>
          <w:i/>
          <w:sz w:val="24"/>
          <w:szCs w:val="24"/>
          <w:lang w:val="es-ES_tradnl"/>
        </w:rPr>
      </w:pPr>
    </w:p>
    <w:p w:rsidR="00EC45FF" w:rsidRPr="003A174E" w:rsidRDefault="00EC45FF" w:rsidP="00EC45FF">
      <w:pPr>
        <w:jc w:val="center"/>
        <w:rPr>
          <w:rFonts w:ascii="Georgia" w:hAnsi="Georgia"/>
          <w:b/>
          <w:i/>
          <w:sz w:val="24"/>
          <w:szCs w:val="24"/>
          <w:lang w:val="es-ES_tradnl"/>
        </w:rPr>
      </w:pPr>
      <w:r w:rsidRPr="003A174E">
        <w:rPr>
          <w:rFonts w:ascii="Georgia" w:hAnsi="Georgia"/>
          <w:b/>
          <w:i/>
          <w:sz w:val="24"/>
          <w:szCs w:val="24"/>
          <w:lang w:val="es-ES_tradnl"/>
        </w:rPr>
        <w:t>Tabla I. Fuentes que Financian el PND 2019-2022</w:t>
      </w:r>
    </w:p>
    <w:p w:rsidR="00EC45FF" w:rsidRPr="003A174E" w:rsidRDefault="00EC45FF" w:rsidP="00EC45FF">
      <w:pPr>
        <w:spacing w:line="276" w:lineRule="auto"/>
        <w:jc w:val="center"/>
        <w:rPr>
          <w:rFonts w:ascii="Georgia" w:hAnsi="Georgia"/>
          <w:i/>
          <w:sz w:val="24"/>
          <w:szCs w:val="24"/>
          <w:lang w:val="es-ES_tradnl"/>
        </w:rPr>
      </w:pPr>
      <w:r w:rsidRPr="003A174E">
        <w:rPr>
          <w:rFonts w:ascii="Georgia" w:hAnsi="Georgia"/>
          <w:i/>
          <w:sz w:val="24"/>
          <w:szCs w:val="24"/>
          <w:lang w:val="es-ES_tradnl"/>
        </w:rPr>
        <w:t>Cifras en billones de pesos de 2018</w:t>
      </w:r>
    </w:p>
    <w:tbl>
      <w:tblPr>
        <w:tblW w:w="3320" w:type="pct"/>
        <w:jc w:val="center"/>
        <w:tblCellMar>
          <w:left w:w="70" w:type="dxa"/>
          <w:right w:w="70" w:type="dxa"/>
        </w:tblCellMar>
        <w:tblLook w:val="04A0" w:firstRow="1" w:lastRow="0" w:firstColumn="1" w:lastColumn="0" w:noHBand="0" w:noVBand="1"/>
      </w:tblPr>
      <w:tblGrid>
        <w:gridCol w:w="3116"/>
        <w:gridCol w:w="3278"/>
        <w:gridCol w:w="1853"/>
      </w:tblGrid>
      <w:tr w:rsidR="00EC45FF" w:rsidRPr="003A174E" w:rsidTr="007F0063">
        <w:trPr>
          <w:trHeight w:val="315"/>
          <w:jc w:val="center"/>
        </w:trPr>
        <w:tc>
          <w:tcPr>
            <w:tcW w:w="1875"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Fuentes de financiación</w:t>
            </w:r>
          </w:p>
        </w:tc>
        <w:tc>
          <w:tcPr>
            <w:tcW w:w="3125" w:type="pct"/>
            <w:gridSpan w:val="2"/>
            <w:tcBorders>
              <w:top w:val="single" w:sz="8" w:space="0" w:color="auto"/>
              <w:left w:val="nil"/>
              <w:bottom w:val="single" w:sz="8" w:space="0" w:color="auto"/>
              <w:right w:val="single" w:sz="8" w:space="0" w:color="auto"/>
            </w:tcBorders>
            <w:shd w:val="clear" w:color="auto" w:fill="auto"/>
            <w:noWrap/>
            <w:vAlign w:val="bottom"/>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Total PND</w:t>
            </w:r>
          </w:p>
        </w:tc>
      </w:tr>
      <w:tr w:rsidR="00EC45FF" w:rsidRPr="003A174E" w:rsidTr="007F0063">
        <w:trPr>
          <w:trHeight w:val="345"/>
          <w:jc w:val="center"/>
        </w:trPr>
        <w:tc>
          <w:tcPr>
            <w:tcW w:w="1875" w:type="pct"/>
            <w:vMerge/>
            <w:tcBorders>
              <w:top w:val="single" w:sz="8" w:space="0" w:color="auto"/>
              <w:left w:val="single" w:sz="8" w:space="0" w:color="auto"/>
              <w:bottom w:val="single" w:sz="8" w:space="0" w:color="auto"/>
              <w:right w:val="single" w:sz="8" w:space="0" w:color="auto"/>
            </w:tcBorders>
            <w:vAlign w:val="center"/>
            <w:hideMark/>
          </w:tcPr>
          <w:p w:rsidR="00EC45FF" w:rsidRPr="003A174E" w:rsidRDefault="00EC45FF" w:rsidP="007F0063">
            <w:pPr>
              <w:rPr>
                <w:rFonts w:ascii="Georgia" w:hAnsi="Georgia"/>
                <w:b/>
                <w:bCs/>
                <w:i/>
                <w:sz w:val="24"/>
                <w:szCs w:val="24"/>
                <w:lang w:eastAsia="es-CO"/>
              </w:rPr>
            </w:pP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Billones de pesos de 2018</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Participación</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PGN</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352,2</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32,1%</w:t>
            </w:r>
          </w:p>
        </w:tc>
      </w:tr>
      <w:tr w:rsidR="00EC45FF" w:rsidRPr="003A174E" w:rsidTr="007F0063">
        <w:trPr>
          <w:trHeight w:val="345"/>
          <w:jc w:val="center"/>
        </w:trPr>
        <w:tc>
          <w:tcPr>
            <w:tcW w:w="1875" w:type="pct"/>
            <w:tcBorders>
              <w:top w:val="nil"/>
              <w:left w:val="single" w:sz="8" w:space="0" w:color="auto"/>
              <w:bottom w:val="single" w:sz="4"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SGP</w:t>
            </w:r>
          </w:p>
        </w:tc>
        <w:tc>
          <w:tcPr>
            <w:tcW w:w="2038" w:type="pct"/>
            <w:tcBorders>
              <w:top w:val="nil"/>
              <w:left w:val="nil"/>
              <w:bottom w:val="single" w:sz="4"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169,3</w:t>
            </w:r>
          </w:p>
        </w:tc>
        <w:tc>
          <w:tcPr>
            <w:tcW w:w="1087" w:type="pct"/>
            <w:tcBorders>
              <w:top w:val="nil"/>
              <w:left w:val="nil"/>
              <w:bottom w:val="single" w:sz="4"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15,4%</w:t>
            </w:r>
          </w:p>
        </w:tc>
      </w:tr>
      <w:tr w:rsidR="00EC45FF" w:rsidRPr="003A174E" w:rsidTr="007F0063">
        <w:trPr>
          <w:trHeight w:val="345"/>
          <w:jc w:val="center"/>
        </w:trPr>
        <w:tc>
          <w:tcPr>
            <w:tcW w:w="187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Territoriales</w:t>
            </w:r>
          </w:p>
        </w:tc>
        <w:tc>
          <w:tcPr>
            <w:tcW w:w="2038" w:type="pct"/>
            <w:tcBorders>
              <w:top w:val="single" w:sz="4" w:space="0" w:color="auto"/>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115,6</w:t>
            </w:r>
          </w:p>
        </w:tc>
        <w:tc>
          <w:tcPr>
            <w:tcW w:w="1087" w:type="pct"/>
            <w:tcBorders>
              <w:top w:val="single" w:sz="4" w:space="0" w:color="auto"/>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10,6%</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EICE</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57,8</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5,3%</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SGR</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33,7</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3,1%</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Cooperación</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4,1</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0,4%</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i/>
                <w:sz w:val="24"/>
                <w:szCs w:val="24"/>
                <w:lang w:eastAsia="es-CO"/>
              </w:rPr>
            </w:pPr>
            <w:r w:rsidRPr="003A174E">
              <w:rPr>
                <w:rFonts w:ascii="Georgia" w:hAnsi="Georgia"/>
                <w:i/>
                <w:sz w:val="24"/>
                <w:szCs w:val="24"/>
                <w:lang w:eastAsia="es-CO"/>
              </w:rPr>
              <w:t>Privados</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363,2</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i/>
                <w:sz w:val="24"/>
                <w:szCs w:val="24"/>
                <w:lang w:eastAsia="es-CO"/>
              </w:rPr>
            </w:pPr>
            <w:r w:rsidRPr="003A174E">
              <w:rPr>
                <w:rFonts w:ascii="Georgia" w:hAnsi="Georgia"/>
                <w:i/>
                <w:sz w:val="24"/>
                <w:szCs w:val="24"/>
                <w:lang w:eastAsia="es-CO"/>
              </w:rPr>
              <w:t>33,1%</w:t>
            </w:r>
          </w:p>
        </w:tc>
      </w:tr>
      <w:tr w:rsidR="00EC45FF" w:rsidRPr="003A174E" w:rsidTr="007F0063">
        <w:trPr>
          <w:trHeight w:val="345"/>
          <w:jc w:val="center"/>
        </w:trPr>
        <w:tc>
          <w:tcPr>
            <w:tcW w:w="1875" w:type="pct"/>
            <w:tcBorders>
              <w:top w:val="nil"/>
              <w:left w:val="single" w:sz="8" w:space="0" w:color="auto"/>
              <w:bottom w:val="single" w:sz="8" w:space="0" w:color="auto"/>
              <w:right w:val="single" w:sz="8" w:space="0" w:color="auto"/>
            </w:tcBorders>
            <w:shd w:val="clear" w:color="auto" w:fill="auto"/>
            <w:noWrap/>
            <w:vAlign w:val="center"/>
            <w:hideMark/>
          </w:tcPr>
          <w:p w:rsidR="00EC45FF" w:rsidRPr="003A174E" w:rsidRDefault="00EC45FF" w:rsidP="007F0063">
            <w:pPr>
              <w:rPr>
                <w:rFonts w:ascii="Georgia" w:hAnsi="Georgia"/>
                <w:b/>
                <w:bCs/>
                <w:i/>
                <w:sz w:val="24"/>
                <w:szCs w:val="24"/>
                <w:lang w:eastAsia="es-CO"/>
              </w:rPr>
            </w:pPr>
            <w:r w:rsidRPr="003A174E">
              <w:rPr>
                <w:rFonts w:ascii="Georgia" w:hAnsi="Georgia"/>
                <w:b/>
                <w:bCs/>
                <w:i/>
                <w:sz w:val="24"/>
                <w:szCs w:val="24"/>
                <w:lang w:eastAsia="es-CO"/>
              </w:rPr>
              <w:t>Total</w:t>
            </w:r>
          </w:p>
        </w:tc>
        <w:tc>
          <w:tcPr>
            <w:tcW w:w="2038"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1.096,1</w:t>
            </w:r>
          </w:p>
        </w:tc>
        <w:tc>
          <w:tcPr>
            <w:tcW w:w="1087" w:type="pct"/>
            <w:tcBorders>
              <w:top w:val="nil"/>
              <w:left w:val="nil"/>
              <w:bottom w:val="single" w:sz="8" w:space="0" w:color="auto"/>
              <w:right w:val="single" w:sz="8" w:space="0" w:color="auto"/>
            </w:tcBorders>
            <w:shd w:val="clear" w:color="auto" w:fill="auto"/>
            <w:noWrap/>
            <w:vAlign w:val="center"/>
            <w:hideMark/>
          </w:tcPr>
          <w:p w:rsidR="00EC45FF" w:rsidRPr="003A174E" w:rsidRDefault="00EC45FF" w:rsidP="007F0063">
            <w:pPr>
              <w:jc w:val="center"/>
              <w:rPr>
                <w:rFonts w:ascii="Georgia" w:hAnsi="Georgia"/>
                <w:b/>
                <w:bCs/>
                <w:i/>
                <w:sz w:val="24"/>
                <w:szCs w:val="24"/>
                <w:lang w:eastAsia="es-CO"/>
              </w:rPr>
            </w:pPr>
            <w:r w:rsidRPr="003A174E">
              <w:rPr>
                <w:rFonts w:ascii="Georgia" w:hAnsi="Georgia"/>
                <w:b/>
                <w:bCs/>
                <w:i/>
                <w:sz w:val="24"/>
                <w:szCs w:val="24"/>
                <w:lang w:eastAsia="es-CO"/>
              </w:rPr>
              <w:t>100%</w:t>
            </w:r>
          </w:p>
        </w:tc>
      </w:tr>
    </w:tbl>
    <w:p w:rsidR="00EC45FF" w:rsidRPr="003A174E" w:rsidRDefault="00EC45FF" w:rsidP="00EC45FF">
      <w:pPr>
        <w:spacing w:line="276" w:lineRule="auto"/>
        <w:jc w:val="center"/>
        <w:rPr>
          <w:rFonts w:ascii="Georgia" w:hAnsi="Georgia"/>
          <w:i/>
          <w:sz w:val="24"/>
          <w:szCs w:val="24"/>
          <w:lang w:val="es-ES_tradnl"/>
        </w:rPr>
      </w:pPr>
      <w:r w:rsidRPr="003A174E">
        <w:rPr>
          <w:rFonts w:ascii="Georgia" w:hAnsi="Georgia"/>
          <w:i/>
          <w:sz w:val="24"/>
          <w:szCs w:val="24"/>
          <w:lang w:val="es-ES_tradnl"/>
        </w:rPr>
        <w:t>Fuente: Dirección de Inversiones y Finanzas Públicas – DNP.</w:t>
      </w:r>
    </w:p>
    <w:p w:rsidR="00EC45FF" w:rsidRPr="003A174E" w:rsidRDefault="00EC45FF" w:rsidP="00EC45FF">
      <w:pPr>
        <w:jc w:val="center"/>
        <w:rPr>
          <w:rFonts w:ascii="Georgia" w:hAnsi="Georgia"/>
          <w:b/>
          <w:i/>
          <w:sz w:val="24"/>
          <w:szCs w:val="24"/>
          <w:lang w:val="es-ES_tradnl"/>
        </w:rPr>
      </w:pPr>
      <w:r w:rsidRPr="003A174E">
        <w:rPr>
          <w:rFonts w:ascii="Georgia" w:hAnsi="Georgia"/>
          <w:b/>
          <w:i/>
          <w:sz w:val="24"/>
          <w:szCs w:val="24"/>
          <w:lang w:val="es-ES_tradnl"/>
        </w:rPr>
        <w:t>Tabla II. Distribución por Pactos del PND</w:t>
      </w:r>
    </w:p>
    <w:tbl>
      <w:tblPr>
        <w:tblW w:w="9351" w:type="dxa"/>
        <w:tblCellMar>
          <w:left w:w="70" w:type="dxa"/>
          <w:right w:w="70" w:type="dxa"/>
        </w:tblCellMar>
        <w:tblLook w:val="04A0" w:firstRow="1" w:lastRow="0" w:firstColumn="1" w:lastColumn="0" w:noHBand="0" w:noVBand="1"/>
      </w:tblPr>
      <w:tblGrid>
        <w:gridCol w:w="7340"/>
        <w:gridCol w:w="2011"/>
      </w:tblGrid>
      <w:tr w:rsidR="00EC45FF" w:rsidRPr="003A174E" w:rsidTr="007F0063">
        <w:trPr>
          <w:trHeight w:val="20"/>
          <w:tblHeader/>
        </w:trPr>
        <w:tc>
          <w:tcPr>
            <w:tcW w:w="7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Pacto/Línea</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Miles de millones de pesos de 2018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legalidad: seguridad efectiva y justicia transparente para que todos vivamos con libertad y en democracia.</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132.776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rPr>
            </w:pPr>
            <w:r w:rsidRPr="003A174E">
              <w:rPr>
                <w:rFonts w:ascii="Georgia" w:eastAsiaTheme="minorHAnsi" w:hAnsi="Georgia"/>
                <w:i/>
                <w:sz w:val="24"/>
                <w:szCs w:val="24"/>
              </w:rPr>
              <w:lastRenderedPageBreak/>
              <w:t xml:space="preserve">Seguridad, autoridad y orden para la libertad: defensa </w:t>
            </w:r>
            <w:r w:rsidRPr="003A174E">
              <w:rPr>
                <w:rFonts w:ascii="Georgia" w:eastAsiaTheme="minorHAnsi" w:hAnsi="Georgia"/>
                <w:i/>
                <w:sz w:val="24"/>
                <w:szCs w:val="24"/>
                <w:lang w:val="es-ES"/>
              </w:rPr>
              <w:t>n</w:t>
            </w:r>
            <w:r w:rsidRPr="003A174E">
              <w:rPr>
                <w:rFonts w:ascii="Georgia" w:eastAsiaTheme="minorHAnsi" w:hAnsi="Georgia"/>
                <w:i/>
                <w:sz w:val="24"/>
                <w:szCs w:val="24"/>
              </w:rPr>
              <w:t>acional, seguridad ciudadana y colaboración ciudadana.</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63.616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Imperio de la ley y convivencia: justicia accesible, oportuna y en toda Colombia, para todos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57.477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Alianza contra la corrupción: tolerancia cero con los corruptos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3.163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Colombia en la escena global: Política exterior responsable, innovadora y constructiva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682</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Participación ciudadana: promoviendo el diálogo, la inclusión democrática y la libertad de cultos para la equidad</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7.026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i/>
                <w:sz w:val="24"/>
                <w:szCs w:val="24"/>
                <w:lang w:eastAsia="es-CO"/>
              </w:rPr>
            </w:pPr>
            <w:r w:rsidRPr="003A174E">
              <w:rPr>
                <w:rFonts w:ascii="Georgia" w:eastAsiaTheme="minorHAnsi" w:hAnsi="Georgia"/>
                <w:i/>
                <w:sz w:val="24"/>
                <w:szCs w:val="24"/>
                <w:lang w:val="es-ES" w:eastAsia="es-CO"/>
              </w:rPr>
              <w:t xml:space="preserve">      </w:t>
            </w:r>
            <w:r w:rsidRPr="003A174E">
              <w:rPr>
                <w:rFonts w:ascii="Georgia" w:eastAsiaTheme="minorHAnsi" w:hAnsi="Georgia"/>
                <w:i/>
                <w:sz w:val="24"/>
                <w:szCs w:val="24"/>
                <w:lang w:eastAsia="es-CO"/>
              </w:rPr>
              <w:t>Otros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811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el emprendimiento, la formalización y la productividad: una economía dinámica, incluyente y sostenible que potencie todos nuestros talentos.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25.121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Entorno para crecer: formalización, emprendimiento y dinamización empresarial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10.563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Transformación empresarial: desarrollo productivo, innovación y adopción tecnológica para la productividad</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1.488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Un mundo de posibilidades: aprovechamiento de mercados internacionales y atracción de inversiones productivas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rPr>
            </w:pPr>
            <w:r w:rsidRPr="003A174E">
              <w:rPr>
                <w:rFonts w:ascii="Georgia" w:eastAsiaTheme="minorHAnsi" w:hAnsi="Georgia"/>
                <w:i/>
                <w:sz w:val="24"/>
                <w:szCs w:val="24"/>
              </w:rPr>
              <w:t>Estado simple: menos trámites, regulación clara y más competencia</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656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Campo con progreso: una alianza para dinamizar el desarrollo y la productividad de la Colombia rural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11.617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Turismo: el propósito que nos une</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278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i/>
                <w:sz w:val="24"/>
                <w:szCs w:val="24"/>
                <w:lang w:val="es-ES" w:eastAsia="es-CO"/>
              </w:rPr>
            </w:pPr>
            <w:r w:rsidRPr="003A174E">
              <w:rPr>
                <w:rFonts w:ascii="Georgia" w:eastAsiaTheme="minorHAnsi" w:hAnsi="Georgia"/>
                <w:i/>
                <w:sz w:val="24"/>
                <w:szCs w:val="24"/>
                <w:lang w:val="es-ES" w:eastAsia="es-CO"/>
              </w:rPr>
              <w:t xml:space="preserve">      </w:t>
            </w:r>
            <w:r w:rsidRPr="003A174E">
              <w:rPr>
                <w:rFonts w:ascii="Georgia" w:eastAsiaTheme="minorHAnsi" w:hAnsi="Georgia"/>
                <w:i/>
                <w:sz w:val="24"/>
                <w:szCs w:val="24"/>
                <w:lang w:eastAsia="es-CO"/>
              </w:rPr>
              <w:t>Otros</w:t>
            </w:r>
            <w:r w:rsidRPr="003A174E">
              <w:rPr>
                <w:rFonts w:ascii="Georgia" w:eastAsiaTheme="minorHAnsi" w:hAnsi="Georgia"/>
                <w:i/>
                <w:sz w:val="24"/>
                <w:szCs w:val="24"/>
                <w:lang w:val="es-ES" w:eastAsia="es-CO"/>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461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equidad: política social moderna centrada en la familia, eficiente, de calidad y conectada a mercados.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509.259</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Primero las niñas y los niños: desarrollo integral desde la primera infancia hasta la adolescencia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31.245</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Salud para todos con calidad y eficiencia, sostenible por todos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157.640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Educación de calidad para un futuro con oportunidades para todos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216.004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lastRenderedPageBreak/>
              <w:t>Alianza por la seguridad alimentaria y la nutrición: ciudadanos con mentes y cuerpos sanos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192</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Vivienda y entornos dignos e incluyentes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46.070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Trabajo decente, acceso a mercados e ingresos dignos: acelerando la inclusión productiva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31.521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Juventud naranja: todos los talentos cuentan para construir país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75</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Dignidad y felicidad para todos los adultos mayores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5.564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Deporte y recreación para el desarrollo integral de los individuos, para la convivencia y cohesión social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10.577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Que nadie se quede atrás: acciones coordinadas para la reducción de la pobreza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7.757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Herramientas para una política social moderna y conectada a mercados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343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i/>
                <w:sz w:val="24"/>
                <w:szCs w:val="24"/>
                <w:lang w:val="es-ES" w:eastAsia="es-CO"/>
              </w:rPr>
            </w:pPr>
            <w:r w:rsidRPr="003A174E">
              <w:rPr>
                <w:rFonts w:ascii="Georgia" w:eastAsiaTheme="minorHAnsi" w:hAnsi="Georgia"/>
                <w:i/>
                <w:sz w:val="24"/>
                <w:szCs w:val="24"/>
                <w:lang w:val="es-ES" w:eastAsia="es-CO"/>
              </w:rPr>
              <w:t xml:space="preserve">      </w:t>
            </w:r>
            <w:r w:rsidRPr="003A174E">
              <w:rPr>
                <w:rFonts w:ascii="Georgia" w:eastAsiaTheme="minorHAnsi" w:hAnsi="Georgia"/>
                <w:i/>
                <w:sz w:val="24"/>
                <w:szCs w:val="24"/>
                <w:lang w:eastAsia="es-CO"/>
              </w:rPr>
              <w:t>Otros</w:t>
            </w:r>
            <w:r w:rsidRPr="003A174E">
              <w:rPr>
                <w:rFonts w:ascii="Georgia" w:eastAsiaTheme="minorHAnsi" w:hAnsi="Georgia"/>
                <w:i/>
                <w:sz w:val="24"/>
                <w:szCs w:val="24"/>
                <w:lang w:val="es-ES" w:eastAsia="es-CO"/>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2.270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sostenibilidad: producir conservando y conservar produciendo.</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12.672</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Sectores comprometidos con la sostenibilidad y la mitigación del cambio climático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1.833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Biodiversidad y riqueza natural: activos estratégicos de la Nación</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2.2 41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Colombia resiliente: conocimiento y prevención para la gestión del riesgo de desastres y la adaptación al cambio climático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3.345</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Instituciones ambientales modernas, apropiación social de la biodiversidad y manejo efectivo de los conflictos socioambientales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5.253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Ciencia, la Tecnología y la Innovación: un sistema para construir el conocimiento de la Colombia del futuro.</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21.077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Desarrollo de sistemas nacionales y regionales de innovación integrados y eficaces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46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Tecnología e investigación para el desarrollo productivo y social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21.031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el transporte y la logística para la competitividad y la integración regional.</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63.878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lastRenderedPageBreak/>
              <w:t>Gobernanza e Institucionalidad moderna para el transporte y la logística eficientes y seguros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3.533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Movilidad urbano-regional sostenible para la equidad, la competitividad y la calidad de vida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6.339</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Corredores estratégicos intermodales: red de transporte nacional, nodos logísticos y eficiencia modal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54.006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transformación digital de Colombia: Gobierno, empresas y hogares conectados con la era del conocimiento.</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18.023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Colombia se conecta: masificación de la banda ancha e inclusión digital de todos los colombianos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3.344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Hacia una sociedad digital e industria 4.0: por una relación más eficiente, efectiva y transparente entre mercados, ciudadanos y Estado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14.679</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50" w:hanging="372"/>
              <w:rPr>
                <w:rFonts w:ascii="Georgia" w:hAnsi="Georgia" w:cs="Arial"/>
                <w:b/>
                <w:i/>
                <w:sz w:val="24"/>
                <w:szCs w:val="24"/>
              </w:rPr>
            </w:pPr>
            <w:r w:rsidRPr="003A174E">
              <w:rPr>
                <w:rFonts w:ascii="Georgia" w:hAnsi="Georgia" w:cs="Arial"/>
                <w:b/>
                <w:i/>
                <w:sz w:val="24"/>
                <w:szCs w:val="24"/>
              </w:rPr>
              <w:t>Pacto por la calidad y eficiencia de servicios públicos: agua y energía para promover la competitividad y el bienestar de todos.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44.353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Energía que transforma: hacia un sector energético más innovador, competitivo, limpio y equitativo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24.673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Agua limpia y saneamiento básico adecuado: hacia una gestión responsable, sostenible y equitativa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19.657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jc w:val="both"/>
              <w:rPr>
                <w:rFonts w:ascii="Georgia" w:eastAsiaTheme="minorHAnsi" w:hAnsi="Georgia"/>
                <w:i/>
                <w:sz w:val="24"/>
                <w:szCs w:val="24"/>
                <w:lang w:val="es-ES" w:eastAsia="es-CO"/>
              </w:rPr>
            </w:pPr>
            <w:r w:rsidRPr="003A174E">
              <w:rPr>
                <w:rFonts w:ascii="Georgia" w:eastAsiaTheme="minorHAnsi" w:hAnsi="Georgia"/>
                <w:i/>
                <w:sz w:val="24"/>
                <w:szCs w:val="24"/>
                <w:lang w:eastAsia="es-CO"/>
              </w:rPr>
              <w:t xml:space="preserve"> </w:t>
            </w:r>
            <w:r w:rsidRPr="003A174E">
              <w:rPr>
                <w:rFonts w:ascii="Georgia" w:eastAsiaTheme="minorHAnsi" w:hAnsi="Georgia"/>
                <w:i/>
                <w:sz w:val="24"/>
                <w:szCs w:val="24"/>
                <w:lang w:val="es-ES" w:eastAsia="es-CO"/>
              </w:rPr>
              <w:t xml:space="preserve">     </w:t>
            </w:r>
            <w:r w:rsidRPr="003A174E">
              <w:rPr>
                <w:rFonts w:ascii="Georgia" w:eastAsiaTheme="minorHAnsi" w:hAnsi="Georgia"/>
                <w:i/>
                <w:sz w:val="24"/>
                <w:szCs w:val="24"/>
                <w:lang w:eastAsia="es-CO"/>
              </w:rPr>
              <w:t>Otros</w:t>
            </w:r>
            <w:r w:rsidRPr="003A174E">
              <w:rPr>
                <w:rFonts w:ascii="Georgia" w:eastAsiaTheme="minorHAnsi" w:hAnsi="Georgia"/>
                <w:i/>
                <w:sz w:val="24"/>
                <w:szCs w:val="24"/>
                <w:lang w:val="es-ES" w:eastAsia="es-CO"/>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los recursos minero-energéticos para el crecimiento sostenible y la expansión de oportunidades.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97.876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Desarrollo minero energético con responsabilidad ambiental y social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12.812</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Seguridad energética para el desarrollo productivo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85.064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Pacto por la protección y promoción de nuestra cultura y desarrollo de la economía naranja.</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6.028</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Todos somos cultura: la esencia de un país que se transforma desde los territorios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6.002</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Colombia naranja: desarrollo del emprendimiento de base artística, creativa y tecnológica para la creación de nuevas industrias</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pStyle w:val="Prrafodelista"/>
              <w:numPr>
                <w:ilvl w:val="0"/>
                <w:numId w:val="6"/>
              </w:numPr>
              <w:spacing w:before="40" w:after="40" w:line="240" w:lineRule="auto"/>
              <w:ind w:left="350" w:hanging="346"/>
              <w:rPr>
                <w:rFonts w:ascii="Georgia" w:hAnsi="Georgia" w:cs="Arial"/>
                <w:b/>
                <w:i/>
                <w:sz w:val="24"/>
                <w:szCs w:val="24"/>
              </w:rPr>
            </w:pPr>
            <w:r w:rsidRPr="003A174E">
              <w:rPr>
                <w:rFonts w:ascii="Georgia" w:hAnsi="Georgia" w:cs="Arial"/>
                <w:b/>
                <w:i/>
                <w:sz w:val="24"/>
                <w:szCs w:val="24"/>
              </w:rPr>
              <w:lastRenderedPageBreak/>
              <w:t>Pacto por la Construcción de Paz: Cultura de la legalidad, convivencia, estabilización y víctimas.</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10.431(*)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tcPr>
          <w:p w:rsidR="00EC45FF" w:rsidRPr="003A174E" w:rsidRDefault="00EC45FF" w:rsidP="007F0063">
            <w:pPr>
              <w:pStyle w:val="Prrafodelista"/>
              <w:numPr>
                <w:ilvl w:val="0"/>
                <w:numId w:val="6"/>
              </w:numPr>
              <w:spacing w:before="40" w:after="40" w:line="240" w:lineRule="auto"/>
              <w:ind w:left="346" w:hanging="346"/>
              <w:rPr>
                <w:rFonts w:ascii="Georgia" w:hAnsi="Georgia" w:cs="Arial"/>
                <w:b/>
                <w:i/>
                <w:sz w:val="24"/>
                <w:szCs w:val="24"/>
              </w:rPr>
            </w:pPr>
            <w:r w:rsidRPr="003A174E">
              <w:rPr>
                <w:rFonts w:ascii="Georgia" w:hAnsi="Georgia" w:cs="Arial"/>
                <w:b/>
                <w:i/>
                <w:sz w:val="24"/>
                <w:szCs w:val="24"/>
              </w:rPr>
              <w:t xml:space="preserve">Pacto por la equidad de oportunidades para grupos indígenas, negros, afros, raizales, palenqueros y Rrom. </w:t>
            </w:r>
          </w:p>
        </w:tc>
        <w:tc>
          <w:tcPr>
            <w:tcW w:w="2011" w:type="dxa"/>
            <w:tcBorders>
              <w:top w:val="nil"/>
              <w:left w:val="nil"/>
              <w:bottom w:val="single" w:sz="4" w:space="0" w:color="auto"/>
              <w:right w:val="single" w:sz="4" w:space="0" w:color="auto"/>
            </w:tcBorders>
            <w:shd w:val="clear" w:color="auto" w:fill="auto"/>
            <w:noWrap/>
            <w:vAlign w:val="center"/>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29.000(**)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b/>
                <w:i/>
                <w:sz w:val="24"/>
                <w:szCs w:val="24"/>
                <w:lang w:val="es-ES"/>
              </w:rPr>
            </w:pPr>
            <w:r w:rsidRPr="003A174E">
              <w:rPr>
                <w:rFonts w:ascii="Georgia" w:eastAsiaTheme="minorHAnsi" w:hAnsi="Georgia"/>
                <w:b/>
                <w:i/>
                <w:sz w:val="24"/>
                <w:szCs w:val="24"/>
              </w:rPr>
              <w:t>XIII.Pacto por la inclusión de todas las personas con discapacidad</w:t>
            </w:r>
            <w:r w:rsidRPr="003A174E">
              <w:rPr>
                <w:rFonts w:ascii="Georgia" w:eastAsiaTheme="minorHAnsi" w:hAnsi="Georgia"/>
                <w:b/>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834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Alianza por la inclusión y la dignidad de todas las personas con discapacidad</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834</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tcPr>
          <w:p w:rsidR="00EC45FF" w:rsidRPr="003A174E" w:rsidRDefault="00EC45FF" w:rsidP="007F0063">
            <w:pPr>
              <w:spacing w:before="40" w:after="40"/>
              <w:rPr>
                <w:rFonts w:ascii="Georgia" w:eastAsiaTheme="minorHAnsi" w:hAnsi="Georgia"/>
                <w:b/>
                <w:i/>
                <w:sz w:val="24"/>
                <w:szCs w:val="24"/>
                <w:lang w:val="es-ES"/>
              </w:rPr>
            </w:pPr>
            <w:r w:rsidRPr="003A174E">
              <w:rPr>
                <w:rFonts w:ascii="Georgia" w:eastAsiaTheme="minorHAnsi" w:hAnsi="Georgia"/>
                <w:b/>
                <w:i/>
                <w:sz w:val="24"/>
                <w:szCs w:val="24"/>
              </w:rPr>
              <w:t>XIV.Pacto por la equidad de las mujeres</w:t>
            </w:r>
            <w:r w:rsidRPr="003A174E">
              <w:rPr>
                <w:rFonts w:ascii="Georgia" w:eastAsiaTheme="minorHAnsi" w:hAnsi="Georgia"/>
                <w:b/>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5.400(**)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b/>
                <w:i/>
                <w:sz w:val="24"/>
                <w:szCs w:val="24"/>
                <w:lang w:val="es-ES"/>
              </w:rPr>
            </w:pPr>
            <w:r w:rsidRPr="003A174E">
              <w:rPr>
                <w:rFonts w:ascii="Georgia" w:eastAsiaTheme="minorHAnsi" w:hAnsi="Georgia"/>
                <w:b/>
                <w:i/>
                <w:sz w:val="24"/>
                <w:szCs w:val="24"/>
              </w:rPr>
              <w:t>XV. Pacto por una gestión pública efectiva</w:t>
            </w:r>
            <w:r w:rsidRPr="003A174E">
              <w:rPr>
                <w:rFonts w:ascii="Georgia" w:eastAsiaTheme="minorHAnsi" w:hAnsi="Georgia"/>
                <w:b/>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8.296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Transformación de la administración pública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2.320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Gasto público efectivo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5.976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b/>
                <w:i/>
                <w:sz w:val="24"/>
                <w:szCs w:val="24"/>
                <w:lang w:val="es-ES"/>
              </w:rPr>
            </w:pPr>
            <w:r w:rsidRPr="003A174E">
              <w:rPr>
                <w:rFonts w:ascii="Georgia" w:eastAsiaTheme="minorHAnsi" w:hAnsi="Georgia"/>
                <w:b/>
                <w:i/>
                <w:sz w:val="24"/>
                <w:szCs w:val="24"/>
              </w:rPr>
              <w:t>XVI.Pacto por la Descentralización: conectar territorios, gobiernos y poblaciones</w:t>
            </w:r>
            <w:r w:rsidRPr="003A174E">
              <w:rPr>
                <w:rFonts w:ascii="Georgia" w:eastAsiaTheme="minorHAnsi" w:hAnsi="Georgia"/>
                <w:b/>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57.496</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Políticas e inversiones para el desarrollo, el ordenamiento y fortalecimiento de la asociatividad</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3.207</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Estimular tanto la productividad como la equidad, a través de la conectividad y los vínculos entre la ciudad y el campo</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44.603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Desarrollo urbano y Sistema de Ciudades (SC) para la sostenibilidad, la productividad y la calidad de vida</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4.450</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Gobiernos territoriales capaces y efectivos: fortalecimiento institucional y modernización para la descentralización efectiva y responsable</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3.245</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ind w:left="360"/>
              <w:rPr>
                <w:rFonts w:ascii="Georgia" w:eastAsiaTheme="minorHAnsi" w:hAnsi="Georgia"/>
                <w:i/>
                <w:sz w:val="24"/>
                <w:szCs w:val="24"/>
                <w:lang w:val="es-ES"/>
              </w:rPr>
            </w:pPr>
            <w:r w:rsidRPr="003A174E">
              <w:rPr>
                <w:rFonts w:ascii="Georgia" w:eastAsiaTheme="minorHAnsi" w:hAnsi="Georgia"/>
                <w:i/>
                <w:sz w:val="24"/>
                <w:szCs w:val="24"/>
              </w:rPr>
              <w:t>Instrumentos e información para la toma de decisiones que promueven el desarrollo regional</w:t>
            </w:r>
            <w:r w:rsidRPr="003A174E">
              <w:rPr>
                <w:rFonts w:ascii="Georgia" w:eastAsiaTheme="minorHAnsi" w:hAnsi="Georgia"/>
                <w:i/>
                <w:sz w:val="24"/>
                <w:szCs w:val="24"/>
                <w:lang w:val="es-ES"/>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i/>
                <w:sz w:val="24"/>
                <w:szCs w:val="24"/>
                <w:lang w:eastAsia="es-CO"/>
              </w:rPr>
            </w:pPr>
            <w:r w:rsidRPr="003A174E">
              <w:rPr>
                <w:rFonts w:ascii="Georgia" w:eastAsiaTheme="minorHAnsi" w:hAnsi="Georgia"/>
                <w:i/>
                <w:sz w:val="24"/>
                <w:szCs w:val="24"/>
                <w:lang w:eastAsia="es-CO"/>
              </w:rPr>
              <w:t>1.991</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eastAsiaTheme="minorHAnsi" w:hAnsi="Georgia"/>
                <w:b/>
                <w:i/>
                <w:sz w:val="24"/>
                <w:szCs w:val="24"/>
                <w:lang w:val="es-ES" w:eastAsia="es-CO"/>
              </w:rPr>
            </w:pPr>
            <w:r w:rsidRPr="003A174E">
              <w:rPr>
                <w:rFonts w:ascii="Georgia" w:eastAsiaTheme="minorHAnsi" w:hAnsi="Georgia"/>
                <w:b/>
                <w:i/>
                <w:sz w:val="24"/>
                <w:szCs w:val="24"/>
                <w:lang w:eastAsia="es-CO"/>
              </w:rPr>
              <w:t>Gasto privado transversal al Plan Nacional de Desarrollo y otros</w:t>
            </w:r>
            <w:r w:rsidRPr="003A174E">
              <w:rPr>
                <w:rFonts w:ascii="Georgia" w:eastAsiaTheme="minorHAnsi" w:hAnsi="Georgia"/>
                <w:b/>
                <w:i/>
                <w:sz w:val="24"/>
                <w:szCs w:val="24"/>
                <w:lang w:val="es-ES" w:eastAsia="es-CO"/>
              </w:rPr>
              <w:t>.</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eastAsiaTheme="minorHAnsi" w:hAnsi="Georgia"/>
                <w:b/>
                <w:i/>
                <w:sz w:val="24"/>
                <w:szCs w:val="24"/>
                <w:lang w:eastAsia="es-CO"/>
              </w:rPr>
            </w:pPr>
            <w:r w:rsidRPr="003A174E">
              <w:rPr>
                <w:rFonts w:ascii="Georgia" w:eastAsiaTheme="minorHAnsi" w:hAnsi="Georgia"/>
                <w:b/>
                <w:i/>
                <w:sz w:val="24"/>
                <w:szCs w:val="24"/>
                <w:lang w:eastAsia="es-CO"/>
              </w:rPr>
              <w:t>88.003</w:t>
            </w:r>
          </w:p>
        </w:tc>
      </w:tr>
      <w:tr w:rsidR="00EC45FF" w:rsidRPr="003A174E" w:rsidTr="007F0063">
        <w:trPr>
          <w:trHeight w:val="20"/>
        </w:trPr>
        <w:tc>
          <w:tcPr>
            <w:tcW w:w="7340" w:type="dxa"/>
            <w:tcBorders>
              <w:top w:val="nil"/>
              <w:left w:val="single" w:sz="4" w:space="0" w:color="auto"/>
              <w:bottom w:val="single" w:sz="4" w:space="0" w:color="auto"/>
              <w:right w:val="single" w:sz="4" w:space="0" w:color="auto"/>
            </w:tcBorders>
            <w:shd w:val="clear" w:color="auto" w:fill="auto"/>
            <w:vAlign w:val="center"/>
            <w:hideMark/>
          </w:tcPr>
          <w:p w:rsidR="00EC45FF" w:rsidRPr="003A174E" w:rsidRDefault="00EC45FF" w:rsidP="007F0063">
            <w:pPr>
              <w:spacing w:before="40" w:after="40"/>
              <w:rPr>
                <w:rFonts w:ascii="Georgia" w:hAnsi="Georgia"/>
                <w:b/>
                <w:i/>
                <w:sz w:val="24"/>
                <w:szCs w:val="24"/>
                <w:lang w:eastAsia="es-CO"/>
              </w:rPr>
            </w:pPr>
            <w:r w:rsidRPr="003A174E">
              <w:rPr>
                <w:rFonts w:ascii="Georgia" w:hAnsi="Georgia"/>
                <w:b/>
                <w:i/>
                <w:sz w:val="24"/>
                <w:szCs w:val="24"/>
                <w:lang w:eastAsia="es-CO"/>
              </w:rPr>
              <w:t>Total General</w:t>
            </w:r>
          </w:p>
        </w:tc>
        <w:tc>
          <w:tcPr>
            <w:tcW w:w="2011" w:type="dxa"/>
            <w:tcBorders>
              <w:top w:val="nil"/>
              <w:left w:val="nil"/>
              <w:bottom w:val="single" w:sz="4" w:space="0" w:color="auto"/>
              <w:right w:val="single" w:sz="4" w:space="0" w:color="auto"/>
            </w:tcBorders>
            <w:shd w:val="clear" w:color="auto" w:fill="auto"/>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1.096,1</w:t>
            </w:r>
          </w:p>
        </w:tc>
      </w:tr>
    </w:tbl>
    <w:p w:rsidR="00EC45FF" w:rsidRPr="003A174E" w:rsidRDefault="00EC45FF" w:rsidP="00EC45FF">
      <w:pPr>
        <w:rPr>
          <w:rFonts w:ascii="Georgia" w:hAnsi="Georgia"/>
          <w:i/>
          <w:sz w:val="24"/>
          <w:szCs w:val="24"/>
          <w:lang w:val="es-ES_tradnl"/>
        </w:rPr>
      </w:pPr>
      <w:r w:rsidRPr="003A174E">
        <w:rPr>
          <w:rFonts w:ascii="Georgia" w:hAnsi="Georgia"/>
          <w:i/>
          <w:sz w:val="24"/>
          <w:szCs w:val="24"/>
          <w:lang w:val="es-ES_tradnl"/>
        </w:rPr>
        <w:t>(*) Los recursos de este pacto hacen parte de los $37,1 billones del Plan Plurianual de Inversiones para la Paz.</w:t>
      </w:r>
    </w:p>
    <w:p w:rsidR="00EC45FF" w:rsidRPr="003A174E" w:rsidRDefault="00EC45FF" w:rsidP="00EC45FF">
      <w:pPr>
        <w:rPr>
          <w:rFonts w:ascii="Georgia" w:hAnsi="Georgia"/>
          <w:i/>
          <w:sz w:val="24"/>
          <w:szCs w:val="24"/>
          <w:lang w:val="es-ES_tradnl"/>
        </w:rPr>
      </w:pPr>
      <w:r w:rsidRPr="003A174E">
        <w:rPr>
          <w:rFonts w:ascii="Georgia" w:hAnsi="Georgia"/>
          <w:i/>
          <w:sz w:val="24"/>
          <w:szCs w:val="24"/>
          <w:lang w:val="es-ES_tradnl"/>
        </w:rPr>
        <w:t xml:space="preserve"> (**) Estos valores NO SUMAN al total del Plan Plurianual de Inversiones por ser recursos transversales entre los diferentes pactos. </w:t>
      </w:r>
    </w:p>
    <w:p w:rsidR="00EC45FF" w:rsidRPr="003A174E" w:rsidRDefault="00EC45FF" w:rsidP="00EC45FF">
      <w:pPr>
        <w:spacing w:line="276" w:lineRule="auto"/>
        <w:rPr>
          <w:rFonts w:ascii="Georgia" w:hAnsi="Georgia"/>
          <w:i/>
          <w:sz w:val="24"/>
          <w:szCs w:val="24"/>
          <w:lang w:val="es-ES_tradnl"/>
        </w:rPr>
      </w:pPr>
      <w:r w:rsidRPr="003A174E">
        <w:rPr>
          <w:rFonts w:ascii="Georgia" w:hAnsi="Georgia"/>
          <w:i/>
          <w:sz w:val="24"/>
          <w:szCs w:val="24"/>
          <w:lang w:val="es-ES_tradnl"/>
        </w:rPr>
        <w:t>Fuente: Dirección de Inversiones y Finanzas Públicas – DNP.</w:t>
      </w:r>
    </w:p>
    <w:p w:rsidR="00EC45FF" w:rsidRPr="003A174E" w:rsidRDefault="00EC45FF" w:rsidP="00EC45FF">
      <w:pPr>
        <w:tabs>
          <w:tab w:val="left" w:pos="4395"/>
        </w:tabs>
        <w:spacing w:before="120" w:after="120"/>
        <w:jc w:val="both"/>
        <w:rPr>
          <w:rFonts w:ascii="Georgia" w:hAnsi="Georgia"/>
          <w:i/>
          <w:sz w:val="24"/>
          <w:szCs w:val="24"/>
          <w:lang w:val="es-MX"/>
        </w:rPr>
      </w:pPr>
      <w:r w:rsidRPr="003A174E">
        <w:rPr>
          <w:rFonts w:ascii="Georgia" w:hAnsi="Georgia"/>
          <w:i/>
          <w:sz w:val="24"/>
          <w:szCs w:val="24"/>
          <w:lang w:val="es-MX"/>
        </w:rPr>
        <w:lastRenderedPageBreak/>
        <w:t>En cumplimiento del artículo 3 del Acto Legislativo 01 del 7 de julio de 2016 por el cual “… se establecen instrumentos jurídicos para facilitar y asegurar la implementación y el desarrollo normativo del Acuerdo Final para la terminación del conflicto y la construcción de una paz estable y duradera”, se incluye el Plan Plurianual de Inversiones para la Paz por un valor de treinta y siete coma uno ($37,1) billones como un componente del Plan Plurianual de Inversiones del Plan Nacional de Desarrollo.</w:t>
      </w:r>
    </w:p>
    <w:p w:rsidR="00EC45FF" w:rsidRPr="003A174E" w:rsidRDefault="00EC45FF" w:rsidP="00EC45FF">
      <w:pPr>
        <w:jc w:val="center"/>
        <w:rPr>
          <w:rFonts w:ascii="Georgia" w:hAnsi="Georgia"/>
          <w:b/>
          <w:i/>
          <w:sz w:val="24"/>
          <w:szCs w:val="24"/>
          <w:lang w:val="es-ES_tradnl"/>
        </w:rPr>
      </w:pPr>
      <w:r w:rsidRPr="003A174E">
        <w:rPr>
          <w:rFonts w:ascii="Georgia" w:hAnsi="Georgia"/>
          <w:b/>
          <w:i/>
          <w:sz w:val="24"/>
          <w:szCs w:val="24"/>
          <w:lang w:val="es-ES_tradnl"/>
        </w:rPr>
        <w:t>Tabla III. Plan Plurianual de Inversiones para la Paz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3"/>
        <w:gridCol w:w="1375"/>
      </w:tblGrid>
      <w:tr w:rsidR="00EC45FF" w:rsidRPr="003A174E" w:rsidTr="007F0063">
        <w:trPr>
          <w:trHeight w:val="300"/>
          <w:tblHeader/>
          <w:jc w:val="center"/>
        </w:trPr>
        <w:tc>
          <w:tcPr>
            <w:tcW w:w="4253"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Pacto/Línea</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Miles de millones de 2018</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I. Pacto por la Legalidad: seguridad efectiva y justicia transparente para que todos vivamos con libertad y en democracia</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1.125,6</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con recursos de cooperación Internacional para la Paz (por demanda)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811,4</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eastAsia="es-CO"/>
              </w:rPr>
            </w:pPr>
            <w:r w:rsidRPr="003A174E">
              <w:rPr>
                <w:rFonts w:ascii="Georgia" w:hAnsi="Georgia"/>
                <w:i/>
                <w:sz w:val="24"/>
                <w:szCs w:val="24"/>
                <w:lang w:eastAsia="es-CO"/>
              </w:rPr>
              <w:t>Seguridad, autoridad y orden para la libertad: defensa Nacional, seguridad ciudadana y colaboración ciudadana.</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8,1</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Imperio de la ley: derechos humanos, justicia accesible, oportuna y en toda Colombia, para todos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305,9</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Participación ciudadana: promoviendo el diálogo, la inclusión democrática y la libertad de cultos para la equidad</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0,2</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II. Pacto por el Emprendimiento, la Formalización y la Productividad: una economía dinámica, incluyente y sostenible que potencie todos nuestros talentos</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2.508,2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con recursos de cooperación Internacional para la Paz (por demanda)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460,8</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Entorno para crecer: formalización, emprendimiento y dinamización empresarial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31,2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Campo con progreso: una alianza para dinamizar el desarrollo y la productividad de la Colombia rural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2.016,2</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III. Pacto por la Equidad: política social moderna centrada en la familia, eficiente, de calidad y conectada a mercados</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18.114,0</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con recursos de cooperación Internacional para la Paz (por demanda)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2.088,9</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 xml:space="preserve">Fortalecimiento de las capacidades institucionales en transversalización del enfoque de género dentro de las </w:t>
            </w:r>
            <w:r w:rsidRPr="003A174E">
              <w:rPr>
                <w:rFonts w:ascii="Georgia" w:hAnsi="Georgia"/>
                <w:i/>
                <w:sz w:val="24"/>
                <w:szCs w:val="24"/>
                <w:lang w:eastAsia="es-CO"/>
              </w:rPr>
              <w:lastRenderedPageBreak/>
              <w:t>entidades de los niveles nacional y territorial desde el Sector Presidencia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lastRenderedPageBreak/>
              <w:t>5,8</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Primero las niñas y los niños: desarrollo integral desde la primera infancia hasta la adolescencia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475,0</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Salud para todos con calidad y eficiencia, sostenible por todos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3.719,2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Educación de calidad para un futuro con oportunidades para todos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9.596,2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Alianza por la seguridad alimentaria y la nutrición: ciudadanos con mentes y cuerpos sanos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44,3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Vivienda y entornos dignos e incluyentes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882,9</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Trabajo decente, acceso a mercados e ingresos dignos: acelerando la inclusión productiva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771,8</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Dignidad y felicidad para todos los adultos mayores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99,8</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eastAsia="es-CO"/>
              </w:rPr>
            </w:pPr>
            <w:r w:rsidRPr="003A174E">
              <w:rPr>
                <w:rFonts w:ascii="Georgia" w:hAnsi="Georgia"/>
                <w:i/>
                <w:sz w:val="24"/>
                <w:szCs w:val="24"/>
                <w:lang w:eastAsia="es-CO"/>
              </w:rPr>
              <w:t>Deporte y recreación para el desarrollo integral de los individuos, para la convivencia y cohesión social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430,2</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IV. Pacto por la Sostenibilidad: producir conservando y conservar produciendo</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213,3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Sectores comprometidos con la sostenibilidad y la mitigación del cambio climático</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56,6</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Biodiversidad y riqueza natural: activos estratégicos de la Nación</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39,4</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Instituciones ambientales modernas, apropiación social de la biodiversidad y manejo efectivo de los conflictos socioambientales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117,3</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V. Pacto por la Ciencia, la Tecnología y la Innovación: un sistema para construir el conocimiento de la Colombia del futuro</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167,7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Tecnología e investigación para el desarrollo productivo y social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167,7</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VI. Pacto por el Transporte y la Logística para la Competitividad y la Integración Regional</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68,9</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Gobernanza e Institucionalidad moderna para el transporte y la logística eficientes y seguros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14,0</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Movilidad urbano-regional sostenible para la equidad, la competitividad y la calidad de vida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33,3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lastRenderedPageBreak/>
              <w:t>Corredores estratégicos intermodales: red de transporte nacional, nodos logísticos y eficiencia modal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21,5</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VII. Pacto por la Transformación Digital de Colombia: Gobierno, empresas y hogares conectados con la era del conocimiento</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44,1</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Colombia se conecta: masificación de la banda ancha e inclusión digital de todos los colombianos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28,7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Hacia una sociedad digital e industria 4.0: por una relación más eficiente, efectiva y transparente entre mercados, ciudadanos y Estado</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15,4</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VIII. Pacto por la Calidad y Eficiencia de Servicios Públicos: agua y energía para promover la competitividad y el bienestar de todos</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2.335,2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con recursos de cooperación Internacional para la Paz (por demanda)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22,7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Energía que transforma: hacia un sector energético más innovador, competitivo, limpio y equitativo</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991,7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Agua limpia y saneamiento básico adecuado: hacia una gestión responsable, sostenible y equitativa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1.320,7</w:t>
            </w:r>
          </w:p>
        </w:tc>
      </w:tr>
      <w:tr w:rsidR="00EC45FF" w:rsidRPr="003A174E" w:rsidTr="007F0063">
        <w:trPr>
          <w:trHeight w:val="300"/>
          <w:jc w:val="center"/>
        </w:trPr>
        <w:tc>
          <w:tcPr>
            <w:tcW w:w="4253" w:type="pct"/>
            <w:noWrap/>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IX. Pacto por los Recursos Minero-energéticos para el Crecimiento Sostenible y la Expansión de Oportunidades</w:t>
            </w:r>
            <w:r w:rsidRPr="003A174E">
              <w:rPr>
                <w:rFonts w:ascii="Georgia" w:hAnsi="Georgia"/>
                <w:b/>
                <w:i/>
                <w:sz w:val="24"/>
                <w:szCs w:val="24"/>
                <w:lang w:val="es-ES" w:eastAsia="es-CO"/>
              </w:rPr>
              <w:t>.</w:t>
            </w:r>
          </w:p>
        </w:tc>
        <w:tc>
          <w:tcPr>
            <w:tcW w:w="747" w:type="pct"/>
            <w:noWrap/>
            <w:vAlign w:val="center"/>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1,5</w:t>
            </w:r>
          </w:p>
        </w:tc>
      </w:tr>
      <w:tr w:rsidR="00EC45FF" w:rsidRPr="003A174E" w:rsidTr="007F0063">
        <w:trPr>
          <w:trHeight w:val="300"/>
          <w:jc w:val="center"/>
        </w:trPr>
        <w:tc>
          <w:tcPr>
            <w:tcW w:w="4253" w:type="pct"/>
            <w:noWrap/>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Desarrollo minero energético con responsabilidad ambiental y social</w:t>
            </w:r>
            <w:r w:rsidRPr="003A174E">
              <w:rPr>
                <w:rFonts w:ascii="Georgia" w:hAnsi="Georgia"/>
                <w:i/>
                <w:sz w:val="24"/>
                <w:szCs w:val="24"/>
                <w:lang w:val="es-ES" w:eastAsia="es-CO"/>
              </w:rPr>
              <w:t>.</w:t>
            </w:r>
          </w:p>
        </w:tc>
        <w:tc>
          <w:tcPr>
            <w:tcW w:w="747" w:type="pct"/>
            <w:noWrap/>
            <w:vAlign w:val="center"/>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1,5</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X. Pacto por la Protección y Promoción de Nuestra Cultura y Desarrollo de la Economía Naranja</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177,9</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Todos somos cultura: la esencia de un país que se transforma desde los territorios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174,6</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Colombia naranja: desarrollo del emprendimiento de base artística, creativa y tecnológica para la creación de nuevas industrias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3,3</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XI. Pacto por la Construcción de Paz: Cultura de la legalidad, Convivencia, Estabilización y Víctimas</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10.431</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con recursos de cooperación Internacional para la Paz (por demanda)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728,7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Inversiones aprobadas por OCAD PAZ</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2.852,3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lastRenderedPageBreak/>
              <w:t>Acciones efectivas para la política de estabilización: intervención coordinada en zonas estratégicas con seguridad, justicia y equidad</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5.229,2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Mayor coordinación y eficiencia del Estado para la estabilización</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395,3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Instrumentos y herramientas que orientan la inversión y el gasto eficiente para la estabilización, la construcción de paz y la cultura de la legalidad</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11,3</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Reparación: Colombia atiende y repara a las víctimas</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1.213,6</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XIII. Pacto por la Inclusión de todas las Personas con Discapacidad</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22,5</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XV. Pacto por una Gestión Pública Efectiva</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0,6</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Transformación de la administración pública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0,6</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val="es-ES" w:eastAsia="es-CO"/>
              </w:rPr>
            </w:pPr>
            <w:r w:rsidRPr="003A174E">
              <w:rPr>
                <w:rFonts w:ascii="Georgia" w:hAnsi="Georgia"/>
                <w:b/>
                <w:i/>
                <w:sz w:val="24"/>
                <w:szCs w:val="24"/>
                <w:lang w:eastAsia="es-CO"/>
              </w:rPr>
              <w:t>XVI. Pacto por la Descentralización: conectar territorios, gobiernos y poblaciones</w:t>
            </w:r>
            <w:r w:rsidRPr="003A174E">
              <w:rPr>
                <w:rFonts w:ascii="Georgia" w:hAnsi="Georgia"/>
                <w:b/>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1.873,4</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Políticas e inversiones para el desarrollo, el ordenamiento y fortalecimiento de la asociatividad</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35,7</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Estimular tanto la productividad como la equidad, a través de la conectividad y los vínculos entre la ciudad y el campo</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1.693,4</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Desarrollo urbano y Sistema de Ciudades (SC) para la sostenibilidad, la productividad y la calidad de vida</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125,2</w:t>
            </w:r>
          </w:p>
        </w:tc>
      </w:tr>
      <w:tr w:rsidR="00EC45FF" w:rsidRPr="003A174E" w:rsidTr="007F0063">
        <w:trPr>
          <w:trHeight w:val="300"/>
          <w:jc w:val="center"/>
        </w:trPr>
        <w:tc>
          <w:tcPr>
            <w:tcW w:w="4253" w:type="pct"/>
            <w:noWrap/>
            <w:hideMark/>
          </w:tcPr>
          <w:p w:rsidR="00EC45FF" w:rsidRPr="003A174E" w:rsidRDefault="00EC45FF" w:rsidP="007F0063">
            <w:pPr>
              <w:spacing w:before="40" w:after="40"/>
              <w:ind w:left="313"/>
              <w:rPr>
                <w:rFonts w:ascii="Georgia" w:hAnsi="Georgia"/>
                <w:i/>
                <w:sz w:val="24"/>
                <w:szCs w:val="24"/>
                <w:lang w:val="es-ES" w:eastAsia="es-CO"/>
              </w:rPr>
            </w:pPr>
            <w:r w:rsidRPr="003A174E">
              <w:rPr>
                <w:rFonts w:ascii="Georgia" w:hAnsi="Georgia"/>
                <w:i/>
                <w:sz w:val="24"/>
                <w:szCs w:val="24"/>
                <w:lang w:eastAsia="es-CO"/>
              </w:rPr>
              <w:t>Instrumentos e información para la toma de decisiones que promueven el desarrollo regional</w:t>
            </w:r>
            <w:r w:rsidRPr="003A174E">
              <w:rPr>
                <w:rFonts w:ascii="Georgia" w:hAnsi="Georgia"/>
                <w:i/>
                <w:sz w:val="24"/>
                <w:szCs w:val="24"/>
                <w:lang w:val="es-ES" w:eastAsia="es-CO"/>
              </w:rPr>
              <w:t>.</w:t>
            </w:r>
          </w:p>
        </w:tc>
        <w:tc>
          <w:tcPr>
            <w:tcW w:w="747" w:type="pct"/>
            <w:noWrap/>
            <w:vAlign w:val="center"/>
            <w:hideMark/>
          </w:tcPr>
          <w:p w:rsidR="00EC45FF" w:rsidRPr="003A174E" w:rsidRDefault="00EC45FF" w:rsidP="007F0063">
            <w:pPr>
              <w:spacing w:before="40" w:after="40"/>
              <w:jc w:val="center"/>
              <w:rPr>
                <w:rFonts w:ascii="Georgia" w:hAnsi="Georgia"/>
                <w:i/>
                <w:sz w:val="24"/>
                <w:szCs w:val="24"/>
                <w:lang w:eastAsia="es-CO"/>
              </w:rPr>
            </w:pPr>
            <w:r w:rsidRPr="003A174E">
              <w:rPr>
                <w:rFonts w:ascii="Georgia" w:hAnsi="Georgia"/>
                <w:i/>
                <w:sz w:val="24"/>
                <w:szCs w:val="24"/>
                <w:lang w:eastAsia="es-CO"/>
              </w:rPr>
              <w:t>19,1</w:t>
            </w:r>
          </w:p>
        </w:tc>
      </w:tr>
      <w:tr w:rsidR="00EC45FF" w:rsidRPr="003A174E" w:rsidTr="007F0063">
        <w:trPr>
          <w:trHeight w:val="300"/>
          <w:jc w:val="center"/>
        </w:trPr>
        <w:tc>
          <w:tcPr>
            <w:tcW w:w="4253" w:type="pct"/>
            <w:noWrap/>
            <w:hideMark/>
          </w:tcPr>
          <w:p w:rsidR="00EC45FF" w:rsidRPr="003A174E" w:rsidRDefault="00EC45FF" w:rsidP="007F0063">
            <w:pPr>
              <w:spacing w:before="40" w:after="40"/>
              <w:rPr>
                <w:rFonts w:ascii="Georgia" w:hAnsi="Georgia"/>
                <w:b/>
                <w:i/>
                <w:sz w:val="24"/>
                <w:szCs w:val="24"/>
                <w:lang w:eastAsia="es-CO"/>
              </w:rPr>
            </w:pPr>
            <w:r w:rsidRPr="003A174E">
              <w:rPr>
                <w:rFonts w:ascii="Georgia" w:hAnsi="Georgia"/>
                <w:b/>
                <w:i/>
                <w:sz w:val="24"/>
                <w:szCs w:val="24"/>
                <w:lang w:eastAsia="es-CO"/>
              </w:rPr>
              <w:t>Total general</w:t>
            </w:r>
          </w:p>
        </w:tc>
        <w:tc>
          <w:tcPr>
            <w:tcW w:w="747" w:type="pct"/>
            <w:noWrap/>
            <w:vAlign w:val="center"/>
            <w:hideMark/>
          </w:tcPr>
          <w:p w:rsidR="00EC45FF" w:rsidRPr="003A174E" w:rsidRDefault="00EC45FF" w:rsidP="007F0063">
            <w:pPr>
              <w:spacing w:before="40" w:after="40"/>
              <w:jc w:val="center"/>
              <w:rPr>
                <w:rFonts w:ascii="Georgia" w:hAnsi="Georgia"/>
                <w:b/>
                <w:i/>
                <w:sz w:val="24"/>
                <w:szCs w:val="24"/>
                <w:lang w:eastAsia="es-CO"/>
              </w:rPr>
            </w:pPr>
            <w:r w:rsidRPr="003A174E">
              <w:rPr>
                <w:rFonts w:ascii="Georgia" w:hAnsi="Georgia"/>
                <w:b/>
                <w:i/>
                <w:sz w:val="24"/>
                <w:szCs w:val="24"/>
                <w:lang w:eastAsia="es-CO"/>
              </w:rPr>
              <w:t>37.083,4</w:t>
            </w:r>
          </w:p>
        </w:tc>
      </w:tr>
    </w:tbl>
    <w:p w:rsidR="00EC45FF" w:rsidRPr="003A174E" w:rsidRDefault="00EC45FF" w:rsidP="00EC45FF">
      <w:pPr>
        <w:spacing w:line="276" w:lineRule="auto"/>
        <w:rPr>
          <w:rFonts w:ascii="Georgia" w:hAnsi="Georgia"/>
          <w:i/>
          <w:sz w:val="24"/>
          <w:szCs w:val="24"/>
          <w:lang w:val="es-ES_tradnl"/>
        </w:rPr>
      </w:pPr>
      <w:r w:rsidRPr="003A174E">
        <w:rPr>
          <w:rFonts w:ascii="Georgia" w:hAnsi="Georgia"/>
          <w:i/>
          <w:sz w:val="24"/>
          <w:szCs w:val="24"/>
          <w:lang w:val="es-ES_tradnl"/>
        </w:rPr>
        <w:t>Fuente: Dirección de Inversiones y Finanzas Públicas – DNP.</w:t>
      </w:r>
    </w:p>
    <w:p w:rsidR="00EC45FF" w:rsidRPr="003A174E" w:rsidRDefault="00EC45FF" w:rsidP="00EC45FF">
      <w:pPr>
        <w:pStyle w:val="Piedefigurasytablas"/>
        <w:jc w:val="both"/>
        <w:rPr>
          <w:rFonts w:ascii="Georgia" w:hAnsi="Georgia" w:cs="Arial"/>
          <w:i/>
          <w:sz w:val="24"/>
          <w:szCs w:val="24"/>
        </w:rPr>
      </w:pPr>
      <w:r w:rsidRPr="003A174E">
        <w:rPr>
          <w:rFonts w:ascii="Georgia" w:hAnsi="Georgia" w:cs="Arial"/>
          <w:b/>
          <w:i/>
          <w:sz w:val="24"/>
          <w:szCs w:val="24"/>
          <w:lang w:val="es-ES_tradnl"/>
        </w:rPr>
        <w:t>PARÁGRAFO PRIMERO.</w:t>
      </w:r>
      <w:r w:rsidRPr="003A174E">
        <w:rPr>
          <w:rFonts w:ascii="Georgia" w:hAnsi="Georgia" w:cs="Arial"/>
          <w:i/>
          <w:sz w:val="24"/>
          <w:szCs w:val="24"/>
          <w:lang w:val="es-ES_tradnl"/>
        </w:rPr>
        <w:t xml:space="preserve"> Los recursos identificados como fuentes de entidades territoriales para financiamiento del Plan Nacional de Inversiones Públicas 2019-2022, corresponde a estimaciones de gastos de los niveles departamental, distrital y municipal en el marco de su autonomía, para la articulación de políticas, estrategias y programas nacionales con los territoriales, según los mecanismos de ejecución definidos en el presente Plan.</w:t>
      </w:r>
    </w:p>
    <w:p w:rsidR="00EC45FF" w:rsidRPr="003A174E" w:rsidRDefault="00EC45FF" w:rsidP="00EC45FF">
      <w:pPr>
        <w:pStyle w:val="Default"/>
        <w:jc w:val="both"/>
        <w:rPr>
          <w:rFonts w:ascii="Georgia" w:hAnsi="Georgia" w:cs="Arial"/>
          <w:i/>
          <w:color w:val="auto"/>
        </w:rPr>
      </w:pPr>
      <w:r w:rsidRPr="003A174E">
        <w:rPr>
          <w:rStyle w:val="baj"/>
          <w:rFonts w:ascii="Georgia" w:hAnsi="Georgia" w:cs="Arial"/>
          <w:b/>
          <w:bCs/>
          <w:i/>
          <w:color w:val="auto"/>
        </w:rPr>
        <w:t>PARÁGRAFO SEGUNDO.</w:t>
      </w:r>
      <w:r w:rsidRPr="003A174E">
        <w:rPr>
          <w:rFonts w:ascii="Georgia" w:hAnsi="Georgia" w:cs="Arial"/>
          <w:i/>
          <w:color w:val="auto"/>
        </w:rPr>
        <w:t xml:space="preserve"> Apruébese como parte integral de la presente ley e incorpórese como anexo el documento “Plan Plurianual de Inversiones” incluido el componente especial para la Paz. </w:t>
      </w:r>
    </w:p>
    <w:p w:rsidR="00EC45FF" w:rsidRPr="003A174E" w:rsidRDefault="00EC45FF" w:rsidP="00EC45FF">
      <w:pPr>
        <w:pStyle w:val="Default"/>
        <w:jc w:val="both"/>
        <w:rPr>
          <w:rFonts w:ascii="Georgia" w:hAnsi="Georgia" w:cs="Arial"/>
          <w:b/>
          <w:i/>
          <w:color w:val="auto"/>
        </w:rPr>
      </w:pPr>
    </w:p>
    <w:p w:rsidR="00EC45FF" w:rsidRPr="003A174E" w:rsidRDefault="00EC45FF" w:rsidP="00EC45FF">
      <w:pPr>
        <w:pStyle w:val="Default"/>
        <w:jc w:val="both"/>
        <w:rPr>
          <w:rFonts w:ascii="Georgia" w:hAnsi="Georgia" w:cs="Arial"/>
          <w:b/>
          <w:i/>
          <w:color w:val="auto"/>
        </w:rPr>
      </w:pPr>
      <w:r w:rsidRPr="003A174E">
        <w:rPr>
          <w:rStyle w:val="baj"/>
          <w:rFonts w:ascii="Georgia" w:hAnsi="Georgia" w:cs="Arial"/>
          <w:b/>
          <w:bCs/>
          <w:i/>
          <w:color w:val="auto"/>
        </w:rPr>
        <w:lastRenderedPageBreak/>
        <w:t>PARÁGRAFO TERCERO.</w:t>
      </w:r>
      <w:r w:rsidRPr="003A174E">
        <w:rPr>
          <w:rFonts w:ascii="Georgia" w:hAnsi="Georgia" w:cs="Arial"/>
          <w:i/>
          <w:color w:val="auto"/>
        </w:rPr>
        <w:t xml:space="preserve"> Como parte integral del Plan Plurianual de Inversiones se incluyen de manera transversal las proyecciones indicativas acordadas en el marco de las consultas previas con los grupos étnicos por veintinueve ($29) billones, estimadas para los pueblos indígenas en diez ($10) billones, los cuales se destinarán para el cumplimiento de los acuerdos que corresponden al Capítulo de los pueblos indígenas, y para las comunidades negras, afrocolombianas, raizales y palenqueras por valor de diecinueve ($19) billones, considerando el Plan Macroeconómico y el Marco Fiscal de Mediano Plazo del Gobierno nacional de acuerdo con todas las fuentes del presente Plan Plurianual de Inversiones y serán sujetos de control fiscal por el órgano competente. </w:t>
      </w:r>
    </w:p>
    <w:p w:rsidR="00EC45FF" w:rsidRPr="003A174E" w:rsidRDefault="00EC45FF" w:rsidP="00EC45FF">
      <w:pPr>
        <w:pStyle w:val="Default"/>
        <w:spacing w:afterLines="20" w:after="48"/>
        <w:jc w:val="both"/>
        <w:rPr>
          <w:rFonts w:ascii="Georgia" w:hAnsi="Georgia" w:cs="Arial"/>
          <w:b/>
          <w:i/>
          <w:color w:val="auto"/>
        </w:rPr>
      </w:pPr>
    </w:p>
    <w:p w:rsidR="00EC45FF" w:rsidRPr="003A174E" w:rsidRDefault="00EC45FF" w:rsidP="00EC45FF">
      <w:pPr>
        <w:pStyle w:val="Default"/>
        <w:spacing w:afterLines="20" w:after="48"/>
        <w:jc w:val="both"/>
        <w:rPr>
          <w:rFonts w:ascii="Georgia" w:hAnsi="Georgia" w:cs="Arial"/>
          <w:i/>
          <w:color w:val="auto"/>
          <w:lang w:val="es-CO"/>
        </w:rPr>
      </w:pPr>
      <w:r w:rsidRPr="003A174E">
        <w:rPr>
          <w:rFonts w:ascii="Georgia" w:hAnsi="Georgia" w:cs="Arial"/>
          <w:b/>
          <w:i/>
          <w:color w:val="auto"/>
          <w:lang w:val="es-CO"/>
        </w:rPr>
        <w:t>ARTÍCULO 5°. RECURSOS FINANCIEROS, PRESUPUESTOS PLURIANUALES Y CONSISTENCIA FISCAL DEL PLAN NACIONAL DE INVERSIONES PÚBLICAS</w:t>
      </w:r>
      <w:r w:rsidRPr="003A174E">
        <w:rPr>
          <w:rFonts w:ascii="Georgia" w:hAnsi="Georgia" w:cs="Arial"/>
          <w:i/>
          <w:color w:val="auto"/>
          <w:lang w:val="es-CO"/>
        </w:rPr>
        <w:t xml:space="preserve">. El valor total de los gastos que se realicen para la ejecución del presente plan financiados con recursos del Presupuesto General de la Nación, no podrán superar en ningún caso el monto de los recursos disponibles de conformidad con el Plan Macroeconómico y el Marco Fiscal de Mediano Plazo (MFMP) del Gobierno nacional. </w:t>
      </w:r>
    </w:p>
    <w:p w:rsidR="00EC45FF" w:rsidRPr="003A174E" w:rsidRDefault="00EC45FF" w:rsidP="00EC45FF">
      <w:pPr>
        <w:pStyle w:val="Default"/>
        <w:spacing w:afterLines="20" w:after="48"/>
        <w:jc w:val="both"/>
        <w:rPr>
          <w:rFonts w:ascii="Georgia" w:hAnsi="Georgia" w:cs="Arial"/>
          <w:i/>
          <w:color w:val="auto"/>
          <w:lang w:val="es-CO"/>
        </w:rPr>
      </w:pPr>
    </w:p>
    <w:p w:rsidR="00EC45FF" w:rsidRPr="003A174E" w:rsidRDefault="00EC45FF" w:rsidP="00EC45FF">
      <w:pPr>
        <w:pStyle w:val="Default"/>
        <w:spacing w:afterLines="20" w:after="48"/>
        <w:jc w:val="both"/>
        <w:rPr>
          <w:rFonts w:ascii="Georgia" w:hAnsi="Georgia" w:cs="Arial"/>
          <w:i/>
          <w:color w:val="auto"/>
          <w:lang w:val="es-CO"/>
        </w:rPr>
      </w:pPr>
      <w:r w:rsidRPr="003A174E">
        <w:rPr>
          <w:rFonts w:ascii="Georgia" w:hAnsi="Georgia" w:cs="Arial"/>
          <w:i/>
          <w:color w:val="auto"/>
          <w:lang w:val="es-CO"/>
        </w:rPr>
        <w:t>Las metas de los programas contempladas en el Plan Nacional de Desarrollo 2018 - 2022 se ajustarán de acuerdo con las disponibilidades fiscales que se establezcan en el Marco Fiscal de Mediano Plazo (MFMP), en el Marco de Gasto de Mediano Plazo (MGMP) y en los Presupuestos Generales de la Nación aprobados para cada vigencia, según lo señalado en los artículos 4 y 5 de la Ley 1473 de 2011.</w:t>
      </w:r>
    </w:p>
    <w:p w:rsidR="00EC45FF" w:rsidRPr="003A174E" w:rsidRDefault="00EC45FF" w:rsidP="00EC45FF">
      <w:pPr>
        <w:pStyle w:val="Default"/>
        <w:spacing w:afterLines="20" w:after="48"/>
        <w:jc w:val="both"/>
        <w:rPr>
          <w:rFonts w:ascii="Georgia" w:hAnsi="Georgia" w:cs="Arial"/>
          <w:i/>
          <w:color w:val="auto"/>
          <w:lang w:val="es-CO"/>
        </w:rPr>
      </w:pP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CAPÍTULO II</w:t>
      </w: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MECANISMOS DE EJECUCIÓN DEL PLAN</w:t>
      </w:r>
    </w:p>
    <w:p w:rsidR="00EC45FF" w:rsidRPr="003A174E" w:rsidRDefault="00EC45FF" w:rsidP="00EC45FF">
      <w:pPr>
        <w:spacing w:afterLines="20" w:after="48" w:line="240" w:lineRule="auto"/>
        <w:jc w:val="center"/>
        <w:rPr>
          <w:rFonts w:ascii="Georgia" w:hAnsi="Georgia"/>
          <w:b/>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SECCIÓN I.</w:t>
      </w: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PACTO POR LA LEGALIDAD: SEGURIDAD EFECTIVA Y JUSTICIA TRANSPARENTE PARA QUE TODOS VIVAMOS CON LIBERTAD Y EN DEMOCRACIA.</w:t>
      </w: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SUBSECCIÓN 1.</w:t>
      </w:r>
    </w:p>
    <w:p w:rsidR="00EC45FF" w:rsidRPr="003A174E" w:rsidRDefault="00EC45FF" w:rsidP="00EC45FF">
      <w:pPr>
        <w:pBdr>
          <w:top w:val="nil"/>
          <w:left w:val="nil"/>
          <w:bottom w:val="nil"/>
          <w:right w:val="nil"/>
          <w:between w:val="nil"/>
        </w:pBd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 LEGALIDAD PARA EL SECTOR AMBIENTAL Y MINERO ENERGÉTICO</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6º. ACCESO A RECURSOS GENÉTICOS Y PRODUCTOS DERIVADOS</w:t>
      </w:r>
      <w:r w:rsidRPr="003A174E">
        <w:rPr>
          <w:rFonts w:ascii="Georgia" w:hAnsi="Georgia"/>
          <w:i/>
          <w:sz w:val="24"/>
          <w:szCs w:val="24"/>
          <w:lang w:val="es-CO"/>
        </w:rPr>
        <w:t xml:space="preserve">. Las personas naturales o jurídicas, nacionales o extranjeras, que a la entrada en vigencia de la presente Ley hayan realizado o se encuentren realizando actividades de investigación con fines de prospección biológica, que contemple actividades de acceso a recursos genéticos y/o sus productos derivados sin contar con la autorización del Ministerio de Ambiente y Desarrollo Sostenible - MADS, tendrán dos años a partir de la entrada en vigencia de la presente Ley, para </w:t>
      </w:r>
      <w:r w:rsidRPr="003A174E">
        <w:rPr>
          <w:rFonts w:ascii="Georgia" w:hAnsi="Georgia"/>
          <w:i/>
          <w:sz w:val="24"/>
          <w:szCs w:val="24"/>
          <w:lang w:val="es-CO"/>
        </w:rPr>
        <w:lastRenderedPageBreak/>
        <w:t xml:space="preserve">solicitar ante dicha entidad, el Contrato de Acceso a Recursos Genéticos y sus Productos Derivados.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citado podrá otorgar este contrato, aun cuando los especímenes utilizados para las actividades de acceso a recursos genéticos o sus productos derivados señaladas en el inciso anterior no cuenten con los permisos de colecta. Con base en este contrato el Instituto Alexander Von Humboldt registrará la colección biológica de los especímenes. También registrará por una sola vez, dentro de los dos años siguientes a la entrada en vigencia de la presente Ley, las colecciones biológicas existentes, que no puedan acreditar el material obtenido en el marco de actividades de recolección, de proyectos de investigación científica y/o prácticas docentes universitarias finalizadas, aun cuando las mismas no acrediten los permisos de colecta.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Desde la radicación de la solicitud y hasta la celebración y perfeccionamiento del Contrato de Acceso a Recursos Genéticos y/o sus Productos Derivados o hasta la denegación del trámite, el solicitante podrá continuar accediendo al recurso genético y/o sus productos derivados.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w:t>
      </w:r>
      <w:r w:rsidRPr="003A174E">
        <w:rPr>
          <w:rFonts w:ascii="Georgia" w:hAnsi="Georgia"/>
          <w:i/>
          <w:sz w:val="24"/>
          <w:szCs w:val="24"/>
          <w:lang w:val="es-CO"/>
        </w:rPr>
        <w:t xml:space="preserve"> El uso de fauna silvestre en el marco de la investigación científica no comercial, no constituye hecho generador de la tasa compensatoria de que trata el artículo 42 de la Ley 99 de 1993.</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7°. RÉGIMEN DE ADJUDICACIÓN EN ÁREAS DE RESERVA FORESTAL.</w:t>
      </w:r>
      <w:r w:rsidRPr="003A174E">
        <w:rPr>
          <w:rFonts w:ascii="Georgia" w:hAnsi="Georgia"/>
          <w:i/>
          <w:sz w:val="24"/>
          <w:szCs w:val="24"/>
          <w:lang w:val="es-CO"/>
        </w:rPr>
        <w:t xml:space="preserve"> Modifíquese el artículo 209 del Decreto Ley 2811 de 1974,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209. RÉGIMEN DE ADJUDICACIÓN EN ÁREAS DE RESERVA FORESTAL. No podrán ser adjudicados los baldíos de las áreas de reserva forestal, salvo aquellos que a consideración del Gobierno nacional, previo concepto favorable del Ministerio de Ambiente y Desarrollo Sostenible, puedan ser objeto de adjudicación conforme al artículo 7 de la Ley 2 de 1959 para destinarlos al aprovechamiento racional y sostenible de los bosques, en los cuales se constituyan reservas conforme lo dispuesto por el artículo 76 de la Ley 160 de 1994.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Serán beneficiarios del régimen de titulación del que trata este artículo, quienes cumpliendo con los requisitos previstos para el efecto por el Decreto Ley 902 de 2017, además ostenten las siguientes condiciones: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i) Hombres y mujeres campesinos que no sean propietarios de tierras y que tengan tradición en las labores rurales;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ii) Que se hallen en condiciones de pobreza y marginalidad y deriven de las actividades agropecuarias la mayor parte de sus ingresos;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iii) Que ejerzan sobre bienes baldíos ubicados en zonas de especial importancia ecológica una ocupación de al menos cinco (5) años a la entrada en vigencia de la presente Ley.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También serán adjudicables a las entidades públicas, previo concepto favorable del Ministerio de Ambiente y Desarrollo Sostenible, aquellos bienes inmuebles necesarios para la construcción o mantenimiento de instalaciones públicas rurales para la prestación de bienes y servicios públicos básicos.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Podrá constituirse reserva sobre los bienes baldíos en áreas de reserva forestal, de conformidad con lo dispuesto en la Ley 2 de 1959, previo concepto favorable del Ministerio de Ambiente y Desarrollo Sostenible, para establecer el régimen especial de que trata el artículo 76 de la Ley 160 de 1994, los cuales solo podrán destinarse al aprovechamiento racional y sostenible de los bosques o a los procesos de restauración y recuperación de los mismos.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reglamentará y establecerá las condiciones de la adjudicación.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jc w:val="both"/>
        <w:rPr>
          <w:rFonts w:ascii="Georgia" w:hAnsi="Georgia"/>
          <w:i/>
          <w:sz w:val="24"/>
          <w:szCs w:val="24"/>
        </w:rPr>
      </w:pPr>
      <w:r w:rsidRPr="003A174E">
        <w:rPr>
          <w:rFonts w:ascii="Georgia" w:hAnsi="Georgia"/>
          <w:b/>
          <w:i/>
          <w:sz w:val="24"/>
          <w:szCs w:val="24"/>
        </w:rPr>
        <w:t>ARTÍCULO 8°. CONFLICTOS SOCIOAMBIENTALES EN ÁREAS PROTEGIDAS DEL</w:t>
      </w:r>
      <w:r w:rsidRPr="003A174E">
        <w:rPr>
          <w:rFonts w:ascii="Georgia" w:hAnsi="Georgia"/>
          <w:b/>
          <w:i/>
          <w:sz w:val="24"/>
          <w:szCs w:val="24"/>
          <w:lang w:val="es-ES"/>
        </w:rPr>
        <w:t xml:space="preserve"> SISTEMA NACIONAL DE ÁREAS PROTEGIDAS - </w:t>
      </w:r>
      <w:r w:rsidRPr="003A174E">
        <w:rPr>
          <w:rFonts w:ascii="Georgia" w:hAnsi="Georgia"/>
          <w:b/>
          <w:i/>
          <w:sz w:val="24"/>
          <w:szCs w:val="24"/>
        </w:rPr>
        <w:t xml:space="preserve">SINAP. </w:t>
      </w:r>
      <w:r w:rsidRPr="003A174E">
        <w:rPr>
          <w:rFonts w:ascii="Georgia" w:hAnsi="Georgia"/>
          <w:i/>
          <w:sz w:val="24"/>
          <w:szCs w:val="24"/>
        </w:rPr>
        <w:t>Las autoridades ambientales, en coordinación con otras entidades públicas y en el marco de sus funciones podrán celebrar acuerdos con población campesina</w:t>
      </w:r>
      <w:r w:rsidRPr="003A174E">
        <w:rPr>
          <w:rFonts w:ascii="Georgia" w:hAnsi="Georgia"/>
          <w:i/>
          <w:sz w:val="24"/>
          <w:szCs w:val="24"/>
          <w:lang w:val="es-ES"/>
        </w:rPr>
        <w:t xml:space="preserve"> en condición de vulnerabilidad,</w:t>
      </w:r>
      <w:r w:rsidRPr="003A174E">
        <w:rPr>
          <w:rFonts w:ascii="Georgia" w:hAnsi="Georgia"/>
          <w:i/>
          <w:sz w:val="24"/>
          <w:szCs w:val="24"/>
        </w:rPr>
        <w:t xml:space="preserve"> que habite, ocupe o realice usos tradicionales asociados a la economía campesina en áreas protegidas del SINAP </w:t>
      </w:r>
      <w:r w:rsidRPr="003A174E">
        <w:rPr>
          <w:rFonts w:ascii="Georgia" w:hAnsi="Georgia"/>
          <w:i/>
          <w:color w:val="000000" w:themeColor="text1"/>
          <w:sz w:val="24"/>
          <w:szCs w:val="24"/>
        </w:rPr>
        <w:t>que deriven su sustento de estos usos y que puedan ser reconocidos por las entidades que suscriben los acuerdos con una relación productiva artesanal y tradicional con el área protegida,</w:t>
      </w:r>
      <w:r w:rsidRPr="003A174E">
        <w:rPr>
          <w:rFonts w:ascii="Georgia" w:hAnsi="Georgia"/>
          <w:i/>
          <w:color w:val="000000" w:themeColor="text1"/>
          <w:sz w:val="24"/>
          <w:szCs w:val="24"/>
          <w:lang w:val="es-ES"/>
        </w:rPr>
        <w:t xml:space="preserve"> </w:t>
      </w:r>
      <w:r w:rsidRPr="003A174E">
        <w:rPr>
          <w:rFonts w:ascii="Georgia" w:hAnsi="Georgia"/>
          <w:i/>
          <w:sz w:val="24"/>
          <w:szCs w:val="24"/>
        </w:rPr>
        <w:t xml:space="preserve">con el objeto de contribuir a la atención de los conflictos de uso, ocupación y tenencia que se presenten en estas áreas. Estos acuerdos permitirán </w:t>
      </w:r>
      <w:r w:rsidRPr="003A174E">
        <w:rPr>
          <w:rFonts w:ascii="Georgia" w:hAnsi="Georgia"/>
          <w:i/>
          <w:sz w:val="24"/>
          <w:szCs w:val="24"/>
          <w:lang w:val="es-ES"/>
        </w:rPr>
        <w:t xml:space="preserve"> </w:t>
      </w:r>
      <w:r w:rsidRPr="003A174E">
        <w:rPr>
          <w:rFonts w:ascii="Georgia" w:hAnsi="Georgia"/>
          <w:i/>
          <w:color w:val="000000" w:themeColor="text1"/>
          <w:sz w:val="24"/>
          <w:szCs w:val="24"/>
        </w:rPr>
        <w:t>generar alternativas de usos compatibles con los objetivos de conservación del área, ordenar y regular</w:t>
      </w:r>
      <w:r w:rsidRPr="003A174E">
        <w:rPr>
          <w:rFonts w:ascii="Georgia" w:hAnsi="Georgia"/>
          <w:i/>
          <w:color w:val="FF0000"/>
          <w:sz w:val="24"/>
          <w:szCs w:val="24"/>
        </w:rPr>
        <w:t xml:space="preserve"> </w:t>
      </w:r>
      <w:r w:rsidRPr="003A174E">
        <w:rPr>
          <w:rFonts w:ascii="Georgia" w:hAnsi="Georgia"/>
          <w:i/>
          <w:sz w:val="24"/>
          <w:szCs w:val="24"/>
          <w:lang w:val="es-ES"/>
        </w:rPr>
        <w:t xml:space="preserve">los </w:t>
      </w:r>
      <w:r w:rsidRPr="003A174E">
        <w:rPr>
          <w:rFonts w:ascii="Georgia" w:hAnsi="Georgia"/>
          <w:i/>
          <w:sz w:val="24"/>
          <w:szCs w:val="24"/>
        </w:rPr>
        <w:t>usos</w:t>
      </w:r>
      <w:r w:rsidRPr="003A174E">
        <w:rPr>
          <w:rFonts w:ascii="Georgia" w:hAnsi="Georgia"/>
          <w:i/>
          <w:sz w:val="24"/>
          <w:szCs w:val="24"/>
          <w:lang w:val="es-ES"/>
        </w:rPr>
        <w:t xml:space="preserve"> asociados a la economía campesina,</w:t>
      </w:r>
      <w:r w:rsidRPr="003A174E">
        <w:rPr>
          <w:rFonts w:ascii="Georgia" w:hAnsi="Georgia"/>
          <w:i/>
          <w:sz w:val="24"/>
          <w:szCs w:val="24"/>
        </w:rPr>
        <w:t xml:space="preserve"> para mejorar el estado de conservación de las áreas, definir actividades productivas acordes con los objetivos de conservación del área protegida y las condiciones de vida de la población</w:t>
      </w:r>
      <w:r w:rsidRPr="003A174E">
        <w:rPr>
          <w:rFonts w:ascii="Georgia" w:hAnsi="Georgia"/>
          <w:i/>
          <w:sz w:val="24"/>
          <w:szCs w:val="24"/>
          <w:lang w:val="es-ES"/>
        </w:rPr>
        <w:t>, garantizando sus derechos  fundamentales.</w:t>
      </w:r>
      <w:r w:rsidRPr="003A174E">
        <w:rPr>
          <w:rFonts w:ascii="Georgia" w:hAnsi="Georgia"/>
          <w:i/>
          <w:sz w:val="24"/>
          <w:szCs w:val="24"/>
        </w:rPr>
        <w:t xml:space="preserve"> </w:t>
      </w:r>
    </w:p>
    <w:p w:rsidR="00EC45FF" w:rsidRPr="003A174E" w:rsidRDefault="00EC45FF" w:rsidP="00EC45FF">
      <w:pPr>
        <w:jc w:val="both"/>
        <w:rPr>
          <w:rFonts w:ascii="Georgia" w:hAnsi="Georgia"/>
          <w:i/>
          <w:sz w:val="24"/>
          <w:szCs w:val="24"/>
        </w:rPr>
      </w:pPr>
      <w:r w:rsidRPr="003A174E">
        <w:rPr>
          <w:rFonts w:ascii="Georgia" w:hAnsi="Georgia"/>
          <w:i/>
          <w:sz w:val="24"/>
          <w:szCs w:val="24"/>
        </w:rPr>
        <w:t>Estos acuerdos podrán ser celebrados hasta tanto la concurrencia de las distintas entidades del Estado permita atender estos conflictos por uso, ocupación y tenencia con alternativas diferenciales, integrales y definitivas.</w:t>
      </w:r>
    </w:p>
    <w:p w:rsidR="00EC45FF" w:rsidRPr="003A174E" w:rsidRDefault="00EC45FF" w:rsidP="00EC45FF">
      <w:pPr>
        <w:jc w:val="both"/>
        <w:rPr>
          <w:rFonts w:ascii="Georgia" w:hAnsi="Georgia"/>
          <w:i/>
          <w:sz w:val="24"/>
          <w:szCs w:val="24"/>
        </w:rPr>
      </w:pPr>
      <w:r w:rsidRPr="003A174E">
        <w:rPr>
          <w:rFonts w:ascii="Georgia" w:hAnsi="Georgia"/>
          <w:i/>
          <w:sz w:val="24"/>
          <w:szCs w:val="24"/>
        </w:rPr>
        <w:t>Lo previsto en este artículo no modifica el régimen de propiedad de las áreas, ni su régimen de protección ambiental.</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9º.</w:t>
      </w:r>
      <w:r w:rsidRPr="003A174E">
        <w:rPr>
          <w:rFonts w:ascii="Georgia" w:hAnsi="Georgia"/>
          <w:i/>
          <w:sz w:val="24"/>
          <w:szCs w:val="24"/>
          <w:lang w:val="es-CO"/>
        </w:rPr>
        <w:t xml:space="preserve"> </w:t>
      </w:r>
      <w:r w:rsidRPr="003A174E">
        <w:rPr>
          <w:rFonts w:ascii="Georgia" w:hAnsi="Georgia"/>
          <w:b/>
          <w:bCs/>
          <w:i/>
          <w:sz w:val="24"/>
          <w:szCs w:val="24"/>
          <w:lang w:val="es-CO"/>
        </w:rPr>
        <w:t xml:space="preserve">MEDIDAS TENDIENTES A DINAMIZAR PROCESOS DE SANEAMIENTO AL INTERIOR DE LAS ÁREAS DEL SISTEMA DE </w:t>
      </w:r>
      <w:r w:rsidRPr="003A174E">
        <w:rPr>
          <w:rFonts w:ascii="Georgia" w:hAnsi="Georgia"/>
          <w:b/>
          <w:bCs/>
          <w:i/>
          <w:sz w:val="24"/>
          <w:szCs w:val="24"/>
          <w:lang w:val="es-CO"/>
        </w:rPr>
        <w:lastRenderedPageBreak/>
        <w:t xml:space="preserve">PARQUES NACIONALES NATURALES. </w:t>
      </w:r>
      <w:r w:rsidRPr="003A174E">
        <w:rPr>
          <w:rFonts w:ascii="Georgia" w:hAnsi="Georgia"/>
          <w:i/>
          <w:sz w:val="24"/>
          <w:szCs w:val="24"/>
          <w:lang w:val="es-CO"/>
        </w:rPr>
        <w:t xml:space="preserve">Para efectos del saneamiento y recuperación ambiental de las áreas del Sistema de Parques Nacionales Naturales de Colombia - SPNN, Parques Nacionales Naturales de Colombia podrá adelantar las siguientes medidas: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Saneamiento automático: En los eventos en que el Estado adquiera inmuebles ubicados al interior de las áreas del SPNN por motivos de utilidad pública, operará el saneamiento automático de vicios en los títulos y la tradición, incluso los que surjan con posterioridad al proceso de adquisición. Lo anterior, sin perjuicio de las acciones indemnizatorias que procedan según la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saneamiento automático de que trata este numeral, no aplicará respecto de los vicios que pudieran derivarse de la adquisición de inmuebles en territorios colectivos de comunidades étnicas, afrocolombianas o raizales.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Compra de mejoras: Parques Nacionales Naturales de Colombia u otra entidad pública podrán reconocer mejoras realizadas en predios al interior de las áreas del SPNN con posterioridad a la declaratoria del área protegida y anteriores al 30 de noviembre de 2016, de acuerdo con la reglamentación que se expida para el efecto.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Este reconocimiento solo aplica para las personas previamente caracterizadas que reúnan las siguientes condiciones: i) que no sean propietarios de tierras; ii) que se hallen en condiciones de vulnerabilidad o deriven directamente del uso de la tierra y de los recursos naturales su fuente básica de subsistencia; y iii) siempre y cuando las mejoras no estén asociadas a cultivos ilícitos, o a su procesamiento o comercialización, así como a actividades de extracción ilícita de minerales.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proceder al reconocimiento y pago de indemnizaciones o mejoras en los términos de este artículo, será necesario contar con la disponibilidad presupuestal correspondiente.</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10°. COORDINACIÓN INTERINSTITUCIONAL PARA EL CONTROL Y VIGILANCIA CONTRA LA DEFORESTACIÓN Y OTROS CRÍMENES AMBIENTALES. </w:t>
      </w:r>
      <w:r w:rsidRPr="003A174E">
        <w:rPr>
          <w:rFonts w:ascii="Georgia" w:hAnsi="Georgia"/>
          <w:i/>
          <w:sz w:val="24"/>
          <w:szCs w:val="24"/>
          <w:lang w:val="es-CO"/>
        </w:rPr>
        <w:t>Créase el Consejo Nacional de Lucha Contra la Deforestación y Otros Crímenes Ambientales asociados - CNLDCA, conformado por el Ministro de Ambiente y Desarrollo Sostenible, el Ministro de Defensa Nacional, el Ministro de Justicia, el Procurador General de la Nación, el Comandante General de las Fuerzas Militares, el Director General de la Policía Nacional y el Fiscal General de la Nación. Deberá participar el Ministerio de Relaciones Exteriores, de existir acciones en zonas fronterizas o que involucren extranjeros, así como los Ministerios de Agricultura y Desarrollo Rural, Minas y Energía y Transporte cuando sean convocados.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logro de su objetivo el Consejo ejercerá las siguientes funciones: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1. Proponer la política, planes, programas y estrategias de lucha contra la deforestación y otros delitos ambientales asociados, así como definir y coordinar las medidas interinstitucionales para su control.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Adoptar mediante acuerdo su propio reglamento y dictar las normas necesarias para el debido cumplimiento de sus funciones y proponer al Gobierno, la expedición de las que fueren de competencia de éste.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Evaluar avances en la lucha contra la deforestación.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Mantener contactos con Gobiernos o entidades extranjeras en asuntos de su competencia y adelantar gestiones ante los mismos con el fin de coordinar la acción con la de otros Estados y de obtener la asistencia que fuere del caso.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efectos de analizar y valorar la información de deforestación y recomendar la ejecución de acciones operativas efectivas de control de eventos de deforestación y otros crímenes ambientales asociados, confórmese la Coordinación de Monitoreo de la Deforestación, como instancia técnica interinstitucional integrada por el Ministro de Ambiente y Desarrollo Sostenible, el Director del Instituto de Hidrología, Meteorología y Estudios Ambientales - IDEAM – Sistema de Monitoreo de Bosques y Carbono, el Comandante General de las Fuerzas Militares, el Director de la Policía Nacional, Director del Cuerpo Técnico de Investigaciones de la Fiscalía General de la Nación o los delegados de cada una de las anteriores.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coordinación de la planeación y ejecución interinstitucional de operativos de lucha contra la deforestación, estará a cargo de la Coordinación Operativa de Lucha contra la Deforestación, la cual estará integrada por el Ministro de Ambiente y Desarrollo Sostenible, el Fiscal General de la Nación – Policía Judicial, el Director de la Policía Nacional y el Comandante General de las Fuerzas Militares o los delegados de cada una de las anteriores. Esta instancia será la encargada de conformar los grupos interinstitucionales requeridos para la ejecución efectiva de operativos, presentar los informes de seguimiento a los resultados de los operativos al CNLDCA y darse su propio reglamento, el cual deberá diseñarse bajo estrictos niveles de confidencialidad de la información, para efectos de garantizar la efectividad de las intervenciones que se ejecuten en la lucha contra la deforestación.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11º. RECURSOS PARA LA CONSERVACIÓN DE LOS PÁRAMOS</w:t>
      </w:r>
      <w:r w:rsidRPr="003A174E">
        <w:rPr>
          <w:rFonts w:ascii="Georgia" w:hAnsi="Georgia"/>
          <w:i/>
          <w:sz w:val="24"/>
          <w:szCs w:val="24"/>
          <w:lang w:val="es-CO"/>
        </w:rPr>
        <w:t>. Los recursos de que tratan los artículos 43 y 45 de la Ley 99 de 1993, modificados por la Ley 1930 de 2018, que le correspondan a las Corporaciones Autónomas Regionales y a los municipios y, que sean destinados a la conservación de los páramos, constituyen rentas propias de estas autoridades por lo que no ingresarán al Fondo Nacional Ambiental – FONAM.</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recursos que le correspondan a Parques Nacionales Naturales ingresarán a la subcuenta para la administración y manejo del Sistema de Parques Nacionales del FONAM. En todo caso estos recursos se destinarán exclusivamente a la </w:t>
      </w:r>
      <w:r w:rsidRPr="003A174E">
        <w:rPr>
          <w:rFonts w:ascii="Georgia" w:hAnsi="Georgia"/>
          <w:i/>
          <w:sz w:val="24"/>
          <w:szCs w:val="24"/>
          <w:lang w:val="es-CO"/>
        </w:rPr>
        <w:lastRenderedPageBreak/>
        <w:t>preservación, restauración, uso sostenible y generación de conocimiento de los páramos.</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12°. AUTORIZACIÓN AMBIENTAL PARA PLANTAS DE PROCESAMIENTO MÓVILES PARA LA OBTENCIÓN DE ORO LIBRE DE MERCURIO.</w:t>
      </w:r>
      <w:r w:rsidRPr="003A174E">
        <w:rPr>
          <w:rFonts w:ascii="Georgia" w:hAnsi="Georgia"/>
          <w:i/>
          <w:sz w:val="24"/>
          <w:szCs w:val="24"/>
          <w:lang w:val="es-CO"/>
        </w:rPr>
        <w:t xml:space="preserve"> El Gobierno nacional a través del Ministerio de Ambiente y Desarrollo Sostenible reglamentará la autorización ambiental diferencial para la operación de plantas de procesamiento móviles para la obtención de oro libre de mercurio. En la reglamentación se deberá tener en cuenta entre otras cosas, el uso de los recursos naturales renovables que se requieren para el proceso de beneficio, la duración de la misma, velando por conservar el ambiente.</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13º.</w:t>
      </w:r>
      <w:r w:rsidRPr="003A174E">
        <w:rPr>
          <w:rFonts w:ascii="Georgia" w:hAnsi="Georgia"/>
          <w:i/>
          <w:sz w:val="24"/>
          <w:szCs w:val="24"/>
          <w:lang w:val="es-CO"/>
        </w:rPr>
        <w:t xml:space="preserve"> </w:t>
      </w:r>
      <w:r w:rsidRPr="003A174E">
        <w:rPr>
          <w:rFonts w:ascii="Georgia" w:hAnsi="Georgia"/>
          <w:b/>
          <w:bCs/>
          <w:i/>
          <w:sz w:val="24"/>
          <w:szCs w:val="24"/>
          <w:lang w:val="es-CO"/>
        </w:rPr>
        <w:t>REQUERIMIENTO DE PERMISO DE VERTIMIENTO</w:t>
      </w:r>
      <w:r w:rsidRPr="003A174E">
        <w:rPr>
          <w:rFonts w:ascii="Georgia" w:hAnsi="Georgia"/>
          <w:i/>
          <w:sz w:val="24"/>
          <w:szCs w:val="24"/>
          <w:lang w:val="es-CO"/>
        </w:rPr>
        <w:t>. Solo requiere permiso de vertimiento la descarga de aguas residuales a las aguas superficiales, a las aguas marinas o al suelo.</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14º. TRATAMIENTO DE AGUAS RESIDUALES.</w:t>
      </w:r>
      <w:r w:rsidRPr="003A174E">
        <w:rPr>
          <w:rFonts w:ascii="Georgia" w:hAnsi="Georgia"/>
          <w:i/>
          <w:sz w:val="24"/>
          <w:szCs w:val="24"/>
          <w:lang w:val="es-CO"/>
        </w:rPr>
        <w:t xml:space="preserve"> Los prestadores de alcantarillado estarán en la obligación de permitir la conexión de las redes de recolección a las plantas de tratamiento de aguas residuales de otros prestadores y de facturar esta actividad en la tarifa a los usuarios, siempre que la solución represente menores costos de operación, administración, mantenimiento e inversión a los que pueda presentar el prestador del servicio de alcantarillado. El Gobierno nacional reglamentará la materia.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Adicionalmente, la disposición de residuos líquidos no domésticos a la red de alcantarillado sin tratamiento podrá ser contratada entre el suscriptor y/o usuario y el prestador del servicio público domiciliario de alcantarillado siempre y cuando este último tenga la capacidad en términos de infraestructura   y  tecnología para cumplir  con los parámetros  y los valores límites máximos permisibles en los vertimientos puntuales.</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15º. FUNCIONES DE LA SUPERINTENDENCIA.</w:t>
      </w:r>
      <w:r w:rsidRPr="003A174E">
        <w:rPr>
          <w:rFonts w:ascii="Georgia" w:hAnsi="Georgia"/>
          <w:i/>
          <w:sz w:val="24"/>
          <w:szCs w:val="24"/>
          <w:lang w:val="es-CO"/>
        </w:rPr>
        <w:t xml:space="preserve"> Modifíquese el numeral 8 y adiciónense los numerales 34, 35 y 36 al artículo 79 de la Ley 142 de 1994,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Solicitar documentos, inclusive contables y financieros, a los prestadores, entidades públicas, privadas o mixtas, auditores externo</w:t>
      </w:r>
      <w:r>
        <w:rPr>
          <w:rFonts w:ascii="Georgia" w:hAnsi="Georgia"/>
          <w:i/>
          <w:sz w:val="24"/>
          <w:szCs w:val="24"/>
          <w:lang w:val="es-CO"/>
        </w:rPr>
        <w:t>s</w:t>
      </w:r>
      <w:r w:rsidRPr="003A174E">
        <w:rPr>
          <w:rFonts w:ascii="Georgia" w:hAnsi="Georgia"/>
          <w:i/>
          <w:sz w:val="24"/>
          <w:szCs w:val="24"/>
          <w:lang w:val="es-CO"/>
        </w:rPr>
        <w:t xml:space="preserve">, </w:t>
      </w:r>
      <w:r>
        <w:rPr>
          <w:rFonts w:ascii="Georgia" w:hAnsi="Georgia"/>
          <w:i/>
          <w:sz w:val="24"/>
          <w:szCs w:val="24"/>
          <w:lang w:val="es-CO"/>
        </w:rPr>
        <w:t>interventores</w:t>
      </w:r>
      <w:r w:rsidRPr="003A174E">
        <w:rPr>
          <w:rFonts w:ascii="Georgia" w:hAnsi="Georgia"/>
          <w:i/>
          <w:sz w:val="24"/>
          <w:szCs w:val="24"/>
          <w:lang w:val="es-CO"/>
        </w:rPr>
        <w:t xml:space="preserve"> o supervisores y privados, entre otros, que tengan información relacionada con la prestación de los servicios públicos domiciliarios. Adicionalmente,  practicar las visitas, inspecciones y pruebas que sean necesarias para el cumplimiento de sus funciones, en la oportunidad fijada por la Superintendencia.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34. Sancionar a los prestadores de servicios públicos y vigilados, auditores externos y otras entidades con naturaleza pública, privada o mixta, que tengan información relacionada con los servicios públicos domiciliarios, cuando no atiendan de manera oportuna y adecuada las solicitudes y requerimientos que la Superintendencia realice en ejercicio de sus funciones.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35. En los casos en los que lo considere necesario para el ejercicio de las funciones de inspección, vigilancia y control, encargar a terceros especializados la toma de muestras de calidad del agua en cualquier lugar del área de prestación del servicio y del sistema que sea técnicamente posible, y contratar un laboratorio para el análisis de las mismas. Los resultados que arrojen las muestras tomadas por la Superintendencia de Servicios Públicos Domiciliarios, podrán ser utilizados como prueba, dentro de los procesos administrativos sancionatorios que adelante contra prestadores objeto de su vigilancia, y para cualquier otro fin que sea pertinente dentro en el ejercicio de las funciones de la Superintendencia de Servicios Públicos Domiciliarios.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36. Ejercer las funciones de control, inspección y vigilancia en lo relativo al servicio de alumbrado público, en aspectos relacionados con la calidad y prestación de este servicio, así como en el cumplimiento de los reglamentos técnicos expedidos para regular su operación.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ES"/>
        </w:rPr>
      </w:pPr>
      <w:r w:rsidRPr="003A174E">
        <w:rPr>
          <w:rFonts w:ascii="Georgia" w:hAnsi="Georgia"/>
          <w:i/>
          <w:sz w:val="24"/>
          <w:szCs w:val="24"/>
          <w:lang w:val="es-CO"/>
        </w:rPr>
        <w:t xml:space="preserve">37. </w:t>
      </w:r>
      <w:r w:rsidRPr="003A174E">
        <w:rPr>
          <w:rFonts w:ascii="Georgia" w:hAnsi="Georgia"/>
          <w:i/>
          <w:sz w:val="24"/>
          <w:szCs w:val="24"/>
        </w:rPr>
        <w:t xml:space="preserve">Corresponde a la Superintendencia de Servicios Públicos Domiciliarios, en desarrollo de sus funciones de inspección y vigilancia, establecer, administrar, mantener y operar el </w:t>
      </w:r>
      <w:r w:rsidRPr="003A174E">
        <w:rPr>
          <w:rFonts w:ascii="Georgia" w:hAnsi="Georgia"/>
          <w:i/>
          <w:sz w:val="24"/>
          <w:szCs w:val="24"/>
          <w:lang w:val="es-ES"/>
        </w:rPr>
        <w:t>S</w:t>
      </w:r>
      <w:r w:rsidRPr="003A174E">
        <w:rPr>
          <w:rFonts w:ascii="Georgia" w:hAnsi="Georgia"/>
          <w:i/>
          <w:sz w:val="24"/>
          <w:szCs w:val="24"/>
        </w:rPr>
        <w:t xml:space="preserve">istema </w:t>
      </w:r>
      <w:r w:rsidRPr="003A174E">
        <w:rPr>
          <w:rFonts w:ascii="Georgia" w:hAnsi="Georgia"/>
          <w:i/>
          <w:sz w:val="24"/>
          <w:szCs w:val="24"/>
          <w:lang w:val="es-ES"/>
        </w:rPr>
        <w:t>Ú</w:t>
      </w:r>
      <w:r w:rsidRPr="003A174E">
        <w:rPr>
          <w:rFonts w:ascii="Georgia" w:hAnsi="Georgia"/>
          <w:i/>
          <w:sz w:val="24"/>
          <w:szCs w:val="24"/>
        </w:rPr>
        <w:t xml:space="preserve">nico de </w:t>
      </w:r>
      <w:r w:rsidRPr="003A174E">
        <w:rPr>
          <w:rFonts w:ascii="Georgia" w:hAnsi="Georgia"/>
          <w:i/>
          <w:sz w:val="24"/>
          <w:szCs w:val="24"/>
          <w:lang w:val="es-ES"/>
        </w:rPr>
        <w:t>I</w:t>
      </w:r>
      <w:r w:rsidRPr="003A174E">
        <w:rPr>
          <w:rFonts w:ascii="Georgia" w:hAnsi="Georgia"/>
          <w:i/>
          <w:sz w:val="24"/>
          <w:szCs w:val="24"/>
        </w:rPr>
        <w:t xml:space="preserve">nformación </w:t>
      </w:r>
      <w:r w:rsidRPr="003A174E">
        <w:rPr>
          <w:rFonts w:ascii="Georgia" w:hAnsi="Georgia"/>
          <w:i/>
          <w:sz w:val="24"/>
          <w:szCs w:val="24"/>
          <w:lang w:val="es-ES"/>
        </w:rPr>
        <w:t xml:space="preserve">- </w:t>
      </w:r>
      <w:r w:rsidRPr="003A174E">
        <w:rPr>
          <w:rFonts w:ascii="Georgia" w:hAnsi="Georgia"/>
          <w:i/>
          <w:sz w:val="24"/>
          <w:szCs w:val="24"/>
        </w:rPr>
        <w:t>SUI de los servicios públicos domiciliarios que se nutra con la información de los prestadores, auditores externos, entidades públicas, particulares, interventores y/o supervisores relacionados con la prestación de los servicios públicos domiciliarios. El SUI podrá interoperar con otras plataformas públicas y privadas y, adicionalmente, podrá compartir información, inclusive aquella que tenga el carácter de confidencial o reservado, garantizando la reserva y confidencialidad de la misma</w:t>
      </w:r>
      <w:r w:rsidRPr="003A174E">
        <w:rPr>
          <w:rFonts w:ascii="Georgia" w:hAnsi="Georgia"/>
          <w:i/>
          <w:sz w:val="24"/>
          <w:szCs w:val="24"/>
          <w:lang w:val="es-ES"/>
        </w:rPr>
        <w:t>.</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16º. FORTALECIMIENTO DEL EJERCICIO DE LAS FUNCIONES DE LA SUPERINTENDENCIA DE SERVICIOS PÚBLICOS DOMICILIARIOS</w:t>
      </w:r>
      <w:r w:rsidRPr="003A174E">
        <w:rPr>
          <w:rFonts w:ascii="Georgia" w:hAnsi="Georgia"/>
          <w:i/>
          <w:sz w:val="24"/>
          <w:szCs w:val="24"/>
          <w:lang w:val="es-CO"/>
        </w:rPr>
        <w:t>. Modifíquese el artículo 227 de la Ley 1753 del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227. FORTALECIMIENTO DEL EJERCICIO DE LAS FUNCIONES DE LA SUPERINTENDENCIA DE SERVICIOS PÚBLICOS DOMICILIARIOS. En la Superintendencia de Servicios Públicos Domiciliarios seguirá funcionando, con vocación de permanencia, el Fondo Empresarial creado por la Ley 812 del 2003, a través de un patrimonio autónomo cuyo ordenador del gasto será el Superintendente de servicios públicos domiciliarios.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Este Fondo podrá financiar a las empresas en toma de posesión para: i) pagos para la satisfacción de los derechos de los trabajadores que se acojan a los planes de retiro voluntario y en general las obligaciones laborales y, ii) apoyo para salvaguardar la prestación del servicio.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Igualmente podrá contratar y/o apoyar el pago de las actividades profesionales requeridas en áreas financieras, técnicas, legales y logísticas a la Superintendencia de Servicios Públicos Domiciliarios y a la empresa objeto de toma de posesión, así como los estudios necesarios para determinar la procedencia de dicha medida y las medidas preventivas de acuerdo con lo establecido en la Ley 142 de 1994.</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Así mismo, de forma excepcional el Fondo podrá apoyar con recursos a las empresas prestadoras de servicios públicos objeto de la medida de toma de posesión para asegurar la viabilidad de los respetivos esquemas de solución a largo plazo sin importar el resultado en el balance del Fondo de la respectiva operación, siempre y cuando así lo soliciten ante la Superintendencia de Servicios Públicos Domiciliarios y acrediten: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i) Incapacidad presente y futura de pago de los recursos entregados previamente a título de financiación, con cargo a los recursos del Fondo Empresarial soportada con las modelaciones financieras y demás elementos que lo demuestren,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ii) Contar con un esquema de solución de largo plazo que cumpla con los criterios que para el efecto establezca la Superintendencia de Servicios Públicos Domiciliarios, y</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iii) El esquema de solución de largo plazo a que hace referencia el numeral anterior solo pueda ser cumplible con la entrega de los recursos mencionados por parte del Fondo, los cuales se considerarán como un ingreso no constitutivo de renta ni ganancia ocasional para las empresas en toma de posesión.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 anteriormente señalado también será aplicable a las empresas que a la entrada en vigencia de la presente Ley se encuentren en toma de posesión.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Si se verifica que existe un escenario en el cual la empresa podrá efectuar el pago mediante el desarrollo de su objeto social, a elección de la Superintendente de Servicios Públicos Domiciliarios, los recursos entregados según lo mencionado, podrán capitalizarse. En consecuencia, la empresa en toma de posesión emitirá acciones, ordinarias o preferenciales, a favor del Fondo Empresarial en los términos del numeral 4 del artículo 19 de la Ley 142 de 1994. Para efectos tributarios esta capitalización se considera como un aporte de capital que no genera enriquecimiento ni para la empresa ni para el Fondo Empresarial.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del Fondo Empresarial estarán conformados por las siguientes fuentes: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a) Los excedentes de la Superintendencia de Servicios Públicos Domiciliarios, de la Comisión de Regulación de Agua Potable y Saneamiento Básico (CRA), de la Comisión de Regulación de Energía y Gas (CREG);</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El producto de las multas que imponga esta Superintendencia;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c) Los rendimientos que genere el Fondo Empresarial y que se obtengan por la inversión de los recursos que integran su patrimonio;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 Los recursos que obtenga a través de las operaciones de crédito interno o externo que se celebren a su nombre, y los que reciba por operaciones de tesorería;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 Los rendimientos derivados de las acciones que posea el Fondo o su enajenación los cuales no estarán sometidos al impuesto sobre la renta y complementarios; y,</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Los demás que obtenga a cualquier título.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financiamiento por parte del Fondo Empresarial a las empresas intervenidas podrá instrumentarse a través de contratos de mutuo, otorgamiento de garantías a favor de terceros, o cualquier otro mecanismo de carácter financiero que permita o facilite el cumplimiento del objeto del Fondo Empresarial.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las operaciones pasivas de crédito interno o externo del literal d) se requerirá el cumplimiento de los requisitos legales ordinarios establecidos para las operaciones de crédito; cuando dichas operaciones de crédito estén dirigidas al desarrollo del giro ordinario de las actividades propias del objeto del Fondo Empresarial para el otorgamiento de la garantía de la Nación no será necesario la constitución de las contragarantías a favor de la Nación normalmente exigidas, ni los aportes al Fondo de Contingencias; para los créditos otorgados directamente por la Nación – Ministerio de Hacienda y Crédito Público no será necesario el otorgamiento de garantías a su favor.</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ARTICULO 17º. REGLAS ESPECIALES SOBRE LA PARTICIPACIÓN DE ENTIDADES PÚBLICAS</w:t>
      </w:r>
      <w:r w:rsidRPr="003A174E">
        <w:rPr>
          <w:rFonts w:ascii="Georgia" w:hAnsi="Georgia"/>
          <w:i/>
          <w:sz w:val="24"/>
          <w:szCs w:val="24"/>
          <w:lang w:val="es-CO"/>
        </w:rPr>
        <w:t xml:space="preserve">. Modifíquese el artículo 27 de la Ley 142 de 1994,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27. REGLAS ESPECIALES SOBRE LA PARTICIPACIÓN DE ENTIDADES PÚBLICAS. La Nación, las entidades territoriales, y las entidades descentralizadas de cualquier nivel administrativo que participen a cualquier título en el capital de las empresas de servicios públicos, están sometidas a las siguientes reglas especiales: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27.1. No podrán otorgar ni recibir de las empresas privilegio o subsidio distinto de los que en esta Ley se precisan.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27.2. Podrán enajenar sus aportes, para lo cual se tendrán en cuenta sistemas que garanticen una adecuada publicidad y la democratización de la propiedad de conformidad con esta Ley y en desarrollo del precepto contenido en el artículo 60 de la Constitución Política.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27.3. Deberán exigir a las empresas de servicios públicos una administración profesional, ajena a intereses partidistas, que tenga en cuenta las necesidades de desarrollo del servicio en el mediano y largo plazo. Al efecto, la designación de sus agentes para la administración de la compañía o la administración de su participación en la misma se hará de manera pública, con base en los principios de transparencia, equidad de género y criterios de mérito para su selección, y teniendo en cuenta los requisitos de formación y experiencia definidos por el Gobierno nacional. Los administradores deberán obrar con base en criterios e indicadores de gestión y eficiencia que para el efecto defina el Gobierno nacional. Cuando a ello haya lugar, las entidades podrán celebrar contratos de fiducia o mandato para la administración profesional de sus acciones en las empresas de servicios públicos, con las personas que hagan las ofertas más convenientes, previa invitación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27.4. En las empresas de servicios públicos con aportes oficiales son bienes de la Nación, de las entidades territoriales, o de las entidades descentralizadas, los aportes hechos por ellas al capital, los derechos que ellos confieren sobre el resto del patrimonio, y los dividendos que puedan corresponderles. A tales bienes, y a los actos o contratos que versen en forma directa, expresa y exclusiva sobre ellos, se aplicará la vigilancia de la Contraloría General de la República, y de las contralorías departamentales y municipales. El control podrá ser realizado por empresas privadas colombianas escogidas por concurso público de méritos y contratadas previo concepto del Consejo de Estado o del Tribunal Administrativo competente, según se trate de acciones o aportes nacionales o de las entidades territoriales.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27.5. Las autoridades de las entidades territoriales, sin perjuicio de las competencias asignadas por la Ley, garantizarán a las empresas oficiales de servicios públicos, el ejercicio de su autonomía administrativa y la continuidad en la gestión gerencial que demuestre eficacia y eficiencia. No podrán anteponer a tal continuidad gerencial, intereses ajenos a los de la buena prestación del servicio.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27.6. Los miembros de las juntas directivas de las empresas oficiales de los servicios públicos domiciliarios serán escogidos por el Presidente de la República, el gobernador o el alcalde, según se trate de empresas nacionales, departamentales o municipales de servicios públicos domiciliarios, respectivamente. En el caso de las Juntas Directivas de las empresas oficiales de los Servicios Públicos Domiciliarios del orden municipal, estos serán designados así: dos terceras partes serán designados libremente de conformidad con los criterios establecidos en los numerales 27.3 y 27.8 por el alcalde y la otra tercera parte escogida por este entre los Vocales de Control registrados por los Comités de Desarrollo y Control Social de los Servicios Públicos Domiciliarios aplicando en lo pertinente las reglas de los numerales citados.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27.7. Los aportes efectuados por la Nación, las entidades territoriales y las entidades descentralizadas de cualquier nivel administrativo a las empresas de servicios públicos, se regirán en un todo por las normas del derecho privado.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27.8. La designación de los miembros de junta directiva cuyo nombramiento corresponda directamente a los representantes de la Nación, los departamentos, los municipios y las entidades descentralizadas se realizará de conformidad con las siguientes reglas: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numPr>
          <w:ilvl w:val="0"/>
          <w:numId w:val="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miembros de la junta directiva: i) No podrán haber tenido relaciones contractuales o legales y reglamentarias con la entidad a representar en los últimos 2 años contados desde la fecha en que se toma posesión del cargo de miembro de la junta directiva. ii) No podrán haber tenido relaciones contractuales con personas con las cuales tengan parentesco hasta el cuarto grado de consanguinidad, segundo de afinidad, primero civil o quien esté ligado por matrimonio o unión permanente, que dentro de los dos (2) años anteriores a la fecha en que se toma posesión del cargo, hayan actuado como administradores de la ESP en la que se pretende ser miembro de junta directiva.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numPr>
          <w:ilvl w:val="0"/>
          <w:numId w:val="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Los miembros de junta directiva cumplirán requisitos mínimos de profesionalismo, idoneidad y experiencia. El Gobierno nacional definirá estos criterios.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27.9. Las empresas en las que la Nación, los departamentos, los municipios y las entidades descentralizadas que tengan participación, deberán adoptar las mejores prácticas de gobierno corporativo incluyendo la aprobación de una política de propiedad que señale los criterios de administración, gestión y control de las empresas, orientados a la generación de valor económico y social y su sostenibilidad. El Gobierno nacional, tomando en consideración las distintas capacidades de las empresas, el rango de participación pública y las condiciones de los mercados, señalará los elementos, indicadores y condiciones características que debe contener la política de propiedad que emitirán la Nación, los departamentos y los municipios.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La Superintendencia de Servicios Públicos Domiciliarios será responsable de evaluar el cumplimiento de las medidas adoptadas en estas reglamentaciones y de sancionar a los sujetos que incumplan tales mandatos.</w:t>
      </w:r>
    </w:p>
    <w:p w:rsidR="00EC45FF" w:rsidRPr="003A174E" w:rsidRDefault="00EC45FF" w:rsidP="00EC45FF">
      <w:pP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18º. DEFINICIONES.</w:t>
      </w:r>
      <w:r w:rsidRPr="003A174E">
        <w:rPr>
          <w:rFonts w:ascii="Georgia" w:hAnsi="Georgia"/>
          <w:i/>
          <w:sz w:val="24"/>
          <w:szCs w:val="24"/>
          <w:lang w:val="es-CO"/>
        </w:rPr>
        <w:t xml:space="preserve"> Adiciónese un parágrafo al artículo 14 de la Ley 142 de 1994, así:</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PARÁGRAFO.</w:t>
      </w:r>
      <w:r w:rsidRPr="003A174E">
        <w:rPr>
          <w:rFonts w:ascii="Georgia" w:hAnsi="Georgia"/>
          <w:i/>
          <w:sz w:val="24"/>
          <w:szCs w:val="24"/>
          <w:lang w:val="es-CO"/>
        </w:rPr>
        <w:t xml:space="preserve"> Las actividades que inciden determinantemente en la correcta prestación de los servicios públicos se podrán asimilar a alguna de las actividades </w:t>
      </w:r>
      <w:r w:rsidRPr="003A174E">
        <w:rPr>
          <w:rFonts w:ascii="Georgia" w:hAnsi="Georgia"/>
          <w:i/>
          <w:sz w:val="24"/>
          <w:szCs w:val="24"/>
          <w:lang w:val="es-CO"/>
        </w:rPr>
        <w:lastRenderedPageBreak/>
        <w:t xml:space="preserve">principales o complementarias que componen las cadenas de valor de los servicios públicos. En consecuencia, quienes desarrollen tales nuevas actividades quedarán sometidos a la regulación, inspección, vigilancia y control por parte de las Comisiones de Regulación respectivas y la Superintendencia de Servicios Públicos Domiciliarios, respectivamente. La Superintendencia de Servicios Públicos Domiciliarios definirá cuándo aplica dicha asimilación y la obligación de </w:t>
      </w:r>
      <w:r w:rsidRPr="003A174E">
        <w:rPr>
          <w:rFonts w:ascii="Georgia" w:hAnsi="Georgia"/>
          <w:i/>
          <w:sz w:val="24"/>
          <w:szCs w:val="24"/>
        </w:rPr>
        <w:t>constituirse como Empresas de Servicios Públicos Domiciliarios.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 xml:space="preserve">ARTÍCULO </w:t>
      </w:r>
      <w:r w:rsidRPr="003A174E">
        <w:rPr>
          <w:rFonts w:ascii="Georgia" w:hAnsi="Georgia"/>
          <w:b/>
          <w:i/>
          <w:sz w:val="24"/>
          <w:szCs w:val="24"/>
          <w:lang w:val="es-ES"/>
        </w:rPr>
        <w:t>19</w:t>
      </w:r>
      <w:r w:rsidRPr="003A174E">
        <w:rPr>
          <w:rFonts w:ascii="Georgia" w:hAnsi="Georgia"/>
          <w:b/>
          <w:i/>
          <w:sz w:val="24"/>
          <w:szCs w:val="24"/>
        </w:rPr>
        <w:t>°. CONTRIBUCIONES ESPECIALES A FAVOR DE LA COMISIÓN DE REGULACIÓN DE ENERGÍA Y GAS -</w:t>
      </w:r>
      <w:r w:rsidRPr="003A174E">
        <w:rPr>
          <w:rFonts w:ascii="Georgia" w:hAnsi="Georgia"/>
          <w:b/>
          <w:i/>
          <w:sz w:val="24"/>
          <w:szCs w:val="24"/>
          <w:lang w:val="es-ES"/>
        </w:rPr>
        <w:t xml:space="preserve"> </w:t>
      </w:r>
      <w:r w:rsidRPr="003A174E">
        <w:rPr>
          <w:rFonts w:ascii="Georgia" w:hAnsi="Georgia"/>
          <w:b/>
          <w:i/>
          <w:sz w:val="24"/>
          <w:szCs w:val="24"/>
        </w:rPr>
        <w:t>CREG, DE LA COMISIÓN DE REGULACIÓN DE AGUA POTABLE Y SANEAMIENTO BÁSICO</w:t>
      </w:r>
      <w:r w:rsidRPr="003A174E">
        <w:rPr>
          <w:rFonts w:ascii="Georgia" w:hAnsi="Georgia"/>
          <w:b/>
          <w:i/>
          <w:sz w:val="24"/>
          <w:szCs w:val="24"/>
          <w:lang w:val="es-CO"/>
        </w:rPr>
        <w:t xml:space="preserve"> </w:t>
      </w:r>
      <w:r w:rsidRPr="003A174E">
        <w:rPr>
          <w:rFonts w:ascii="Georgia" w:hAnsi="Georgia"/>
          <w:b/>
          <w:i/>
          <w:sz w:val="24"/>
          <w:szCs w:val="24"/>
        </w:rPr>
        <w:t xml:space="preserve"> CRA Y DE LA SUPERINTENDENCIA DE SERVICIOS PÚBLICOS DOMICILIARIOS</w:t>
      </w:r>
      <w:r w:rsidRPr="003A174E">
        <w:rPr>
          <w:rFonts w:ascii="Georgia" w:hAnsi="Georgia"/>
          <w:b/>
          <w:i/>
          <w:sz w:val="24"/>
          <w:szCs w:val="24"/>
          <w:lang w:val="es-CO"/>
        </w:rPr>
        <w:t xml:space="preserve"> </w:t>
      </w:r>
      <w:r w:rsidRPr="003A174E">
        <w:rPr>
          <w:rFonts w:ascii="Georgia" w:hAnsi="Georgia"/>
          <w:b/>
          <w:i/>
          <w:sz w:val="24"/>
          <w:szCs w:val="24"/>
        </w:rPr>
        <w:t>-</w:t>
      </w:r>
      <w:r w:rsidRPr="003A174E">
        <w:rPr>
          <w:rFonts w:ascii="Georgia" w:hAnsi="Georgia"/>
          <w:b/>
          <w:i/>
          <w:sz w:val="24"/>
          <w:szCs w:val="24"/>
          <w:lang w:val="es-ES"/>
        </w:rPr>
        <w:t xml:space="preserve"> </w:t>
      </w:r>
      <w:r w:rsidRPr="003A174E">
        <w:rPr>
          <w:rFonts w:ascii="Georgia" w:hAnsi="Georgia"/>
          <w:b/>
          <w:i/>
          <w:sz w:val="24"/>
          <w:szCs w:val="24"/>
        </w:rPr>
        <w:t>SSPD.</w:t>
      </w:r>
      <w:r w:rsidRPr="003A174E">
        <w:rPr>
          <w:rFonts w:ascii="Georgia" w:hAnsi="Georgia"/>
          <w:b/>
          <w:i/>
          <w:sz w:val="24"/>
          <w:szCs w:val="24"/>
          <w:lang w:val="es-ES"/>
        </w:rPr>
        <w:t xml:space="preserve"> </w:t>
      </w:r>
      <w:r w:rsidRPr="003A174E">
        <w:rPr>
          <w:rFonts w:ascii="Georgia" w:hAnsi="Georgia"/>
          <w:i/>
          <w:sz w:val="24"/>
          <w:szCs w:val="24"/>
        </w:rPr>
        <w:t xml:space="preserve">Modifíquese el artículo 85 de la Ley 142 de 1994, el cual </w:t>
      </w:r>
      <w:r w:rsidRPr="003A174E">
        <w:rPr>
          <w:rFonts w:ascii="Georgia" w:hAnsi="Georgia"/>
          <w:i/>
          <w:sz w:val="24"/>
          <w:szCs w:val="24"/>
          <w:lang w:val="es-CO"/>
        </w:rPr>
        <w:t>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85. CONTRIBUCIONES ESPECIALES A FAVOR DE LA COMISIÓN DE REGULACIÓN</w:t>
      </w:r>
      <w:r w:rsidRPr="003A174E">
        <w:rPr>
          <w:rFonts w:ascii="Georgia" w:hAnsi="Georgia"/>
          <w:i/>
          <w:sz w:val="24"/>
          <w:szCs w:val="24"/>
        </w:rPr>
        <w:t xml:space="preserve"> DE ENERGÍA Y GAS -</w:t>
      </w:r>
      <w:r w:rsidRPr="003A174E">
        <w:rPr>
          <w:rFonts w:ascii="Georgia" w:hAnsi="Georgia"/>
          <w:i/>
          <w:sz w:val="24"/>
          <w:szCs w:val="24"/>
          <w:lang w:val="es-ES"/>
        </w:rPr>
        <w:t xml:space="preserve"> </w:t>
      </w:r>
      <w:r w:rsidRPr="003A174E">
        <w:rPr>
          <w:rFonts w:ascii="Georgia" w:hAnsi="Georgia"/>
          <w:i/>
          <w:sz w:val="24"/>
          <w:szCs w:val="24"/>
        </w:rPr>
        <w:t>CREG, DE LA COMISIÓN DE REGULACIÓN DE AGUA POTABLE Y SANEAMIENTO BÁSICO</w:t>
      </w:r>
      <w:r w:rsidRPr="003A174E">
        <w:rPr>
          <w:rFonts w:ascii="Georgia" w:hAnsi="Georgia"/>
          <w:i/>
          <w:sz w:val="24"/>
          <w:szCs w:val="24"/>
          <w:lang w:val="es-CO"/>
        </w:rPr>
        <w:t xml:space="preserve"> </w:t>
      </w:r>
      <w:r w:rsidRPr="003A174E">
        <w:rPr>
          <w:rFonts w:ascii="Georgia" w:hAnsi="Georgia"/>
          <w:i/>
          <w:sz w:val="24"/>
          <w:szCs w:val="24"/>
        </w:rPr>
        <w:t xml:space="preserve"> CRA Y DE LA SUPERINTENDENCIA DE SERVICIOS PÚBLICOS DOMICILIARIOS</w:t>
      </w:r>
      <w:r w:rsidRPr="003A174E">
        <w:rPr>
          <w:rFonts w:ascii="Georgia" w:hAnsi="Georgia"/>
          <w:i/>
          <w:sz w:val="24"/>
          <w:szCs w:val="24"/>
          <w:lang w:val="es-CO"/>
        </w:rPr>
        <w:t xml:space="preserve"> </w:t>
      </w:r>
      <w:r w:rsidRPr="003A174E">
        <w:rPr>
          <w:rFonts w:ascii="Georgia" w:hAnsi="Georgia"/>
          <w:i/>
          <w:sz w:val="24"/>
          <w:szCs w:val="24"/>
        </w:rPr>
        <w:t>-</w:t>
      </w:r>
      <w:r w:rsidRPr="003A174E">
        <w:rPr>
          <w:rFonts w:ascii="Georgia" w:hAnsi="Georgia"/>
          <w:i/>
          <w:sz w:val="24"/>
          <w:szCs w:val="24"/>
          <w:lang w:val="es-ES"/>
        </w:rPr>
        <w:t xml:space="preserve"> </w:t>
      </w:r>
      <w:r w:rsidRPr="003A174E">
        <w:rPr>
          <w:rFonts w:ascii="Georgia" w:hAnsi="Georgia"/>
          <w:i/>
          <w:sz w:val="24"/>
          <w:szCs w:val="24"/>
        </w:rPr>
        <w:t>SSPD.</w:t>
      </w:r>
      <w:r w:rsidRPr="003A174E">
        <w:rPr>
          <w:rFonts w:ascii="Georgia" w:hAnsi="Georgia"/>
          <w:b/>
          <w:i/>
          <w:sz w:val="24"/>
          <w:szCs w:val="24"/>
          <w:lang w:val="es-ES"/>
        </w:rPr>
        <w:t xml:space="preserve"> </w:t>
      </w:r>
      <w:r w:rsidRPr="003A174E">
        <w:rPr>
          <w:rFonts w:ascii="Georgia" w:hAnsi="Georgia"/>
          <w:i/>
          <w:sz w:val="24"/>
          <w:szCs w:val="24"/>
        </w:rPr>
        <w:t xml:space="preserve">Con el fin de financiar los gastos de funcionamiento e inversión de la CREG, la CRA y la SSPD, y en general recuperar los costos del servicio, las personas prestadoras y entidades sujetas a la regulación, inspección, vigilancia y control de las respectivas entidades, serán sujetos pasivos del pago de las contribuciones especiales anuales descritas en el presente artículo, cuyas tarifas serán determinadas por las entidades respectivas y las cuales no podrán ser superiores al uno por ciento (1%) de las </w:t>
      </w:r>
      <w:r w:rsidRPr="003A174E">
        <w:rPr>
          <w:rFonts w:ascii="Georgia" w:hAnsi="Georgia"/>
          <w:i/>
          <w:sz w:val="24"/>
          <w:szCs w:val="24"/>
          <w:lang w:val="es-CO"/>
        </w:rPr>
        <w:t>respectivas bases gravables.  Los elementos de las contribuciones a que hace referencia el presente artículo serán: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MX"/>
        </w:rPr>
      </w:pPr>
      <w:r w:rsidRPr="003A174E">
        <w:rPr>
          <w:rFonts w:ascii="Georgia" w:hAnsi="Georgia"/>
          <w:i/>
          <w:sz w:val="24"/>
          <w:szCs w:val="24"/>
          <w:lang w:val="es-CO"/>
        </w:rPr>
        <w:t>1. Base gravable: La base gravable de cada sujeto pasivo se determinará con base en los costos y gastos totales devengados de acuerdo con la técnica contable menos los impuestos</w:t>
      </w:r>
      <w:r w:rsidRPr="003A174E">
        <w:rPr>
          <w:rFonts w:ascii="Georgia" w:hAnsi="Georgia"/>
          <w:bCs/>
          <w:i/>
          <w:sz w:val="24"/>
          <w:szCs w:val="24"/>
          <w:lang w:val="es-MX"/>
        </w:rPr>
        <w:t xml:space="preserve">, tasas, contribuciones y los intereses devengados a favor de terceros independientes, del año inmediatamente anterior al de la fecha de liquidación, este resultado se denomina costos y gastos totales depurados. Este valor se multiplicará por la división de los ingresos por actividades ordinarias reguladas y el total de ingresos por actividades ordinarias, conforme a los estados financieros de la vigencia fiscal anterior a la cual se haga su cobro. La base gravable descrita se calculará para cada sujeto pasivo así:  </w:t>
      </w:r>
    </w:p>
    <w:p w:rsidR="00EC45FF" w:rsidRPr="003A174E" w:rsidRDefault="00EC45FF" w:rsidP="00EC45FF">
      <w:pPr>
        <w:spacing w:afterLines="20" w:after="48" w:line="240" w:lineRule="auto"/>
        <w:jc w:val="both"/>
        <w:rPr>
          <w:rFonts w:ascii="Georgia" w:hAnsi="Georgia"/>
          <w:bCs/>
          <w:i/>
          <w:sz w:val="24"/>
          <w:szCs w:val="24"/>
          <w:lang w:val="es-MX"/>
        </w:rPr>
      </w:pPr>
    </w:p>
    <w:p w:rsidR="00EC45FF" w:rsidRPr="003A174E" w:rsidRDefault="00EC45FF" w:rsidP="00EC45FF">
      <w:pPr>
        <w:jc w:val="both"/>
        <w:rPr>
          <w:rFonts w:ascii="Georgia" w:hAnsi="Georgia"/>
          <w:bCs/>
          <w:i/>
          <w:sz w:val="24"/>
          <w:szCs w:val="24"/>
          <w:lang w:val="es-MX"/>
        </w:rPr>
      </w:pPr>
      <w:r w:rsidRPr="003A174E">
        <w:rPr>
          <w:rFonts w:ascii="Georgia" w:hAnsi="Georgia"/>
          <w:bCs/>
          <w:i/>
          <w:sz w:val="24"/>
          <w:szCs w:val="24"/>
          <w:lang w:val="es-MX"/>
        </w:rPr>
        <w:t>Base gravable = (Costos y Gastos totales depurados) * (Total ingresos actividades ordinarias y sus actividades complementarias de servicios sujetas a inspección vigilancia, control y regulación devengados en el período) / (Total de ingresos de actividades ordinarias devengados en el período)</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Se entenderá que es un tercero independiente siempre que no cumpla con alguno de los criterios de vinculación previstos en el Artículo 260-1 del Estatuto Tributario. </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lastRenderedPageBreak/>
        <w:t>2. Tarifa: La tarifa de cada contribución especial se determinará por cada uno de los</w:t>
      </w:r>
      <w:r w:rsidRPr="003A174E">
        <w:rPr>
          <w:rFonts w:ascii="Georgia" w:eastAsia="Times New Roman" w:hAnsi="Georgia"/>
          <w:i/>
          <w:color w:val="000000"/>
          <w:sz w:val="24"/>
          <w:szCs w:val="24"/>
          <w:bdr w:val="none" w:sz="0" w:space="0" w:color="auto" w:frame="1"/>
          <w:lang w:val="es-ES" w:eastAsia="en-US"/>
        </w:rPr>
        <w:t xml:space="preserve"> sujetos activos de la contribución de manera independiente, tomando el valor del presupuesto neto de la entidad correspondiente en el año a financiar, incluidos la </w:t>
      </w:r>
      <w:r w:rsidRPr="003A174E">
        <w:rPr>
          <w:rFonts w:ascii="Georgia" w:hAnsi="Georgia"/>
          <w:i/>
          <w:sz w:val="24"/>
          <w:szCs w:val="24"/>
        </w:rPr>
        <w:t>totalidad de gastos de funcionamiento e inversión, el cual se dividirá por la suma de las bases gravables determinadas para los sujetos pasivos conforme a los estados financieros de la vigencia fiscal anterior.</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Tarifa de contribución de sujeto activo= (Presupuesto a financiar de sujeto activo)</w:t>
      </w:r>
      <w:r w:rsidRPr="003A174E">
        <w:rPr>
          <w:rFonts w:ascii="Georgia" w:hAnsi="Georgia"/>
          <w:i/>
          <w:sz w:val="24"/>
          <w:szCs w:val="24"/>
          <w:lang w:val="es-ES"/>
        </w:rPr>
        <w:t xml:space="preserve"> </w:t>
      </w:r>
      <w:r w:rsidRPr="003A174E">
        <w:rPr>
          <w:rFonts w:ascii="Georgia" w:hAnsi="Georgia"/>
          <w:i/>
          <w:sz w:val="24"/>
          <w:szCs w:val="24"/>
        </w:rPr>
        <w:t>/</w:t>
      </w:r>
      <w:r w:rsidRPr="003A174E">
        <w:rPr>
          <w:rFonts w:ascii="Georgia" w:hAnsi="Georgia"/>
          <w:i/>
          <w:sz w:val="24"/>
          <w:szCs w:val="24"/>
          <w:lang w:val="es-ES"/>
        </w:rPr>
        <w:t xml:space="preserve"> </w:t>
      </w:r>
      <w:r w:rsidRPr="003A174E">
        <w:rPr>
          <w:rFonts w:ascii="Georgia" w:hAnsi="Georgia"/>
          <w:i/>
          <w:sz w:val="24"/>
          <w:szCs w:val="24"/>
        </w:rPr>
        <w:t xml:space="preserve">(Suma de bases gravables de sujetos pasivos)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3. Hecho generador. El hecho generador de cada contribución especial por parte de los sujetos pasivos, será la prestación de los servicios sometidos a inspección, control, vigilancia y la venta de sus bienes vigilados o regulados.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4. Sujetos pasivos. Los sujetos pasivos de la contribución especial son las personas prestadoras de servicios públicos domiciliarios, conforme a los artículos 15 y 16 de la Ley 142 de 1994, y todos aquellos que inciden directa o indirectamente en la prestación de los servicios públicos domiciliarios; las personas prestadoras de la cadena de combustibles líquidos y las personas prestadoras del servicio de alumbrado público. Tratándose de la CREG también lo serán las personas prestadoras a que hace referencia el artículo 61 de la Ley 812 de 2003 y el Decreto 4299 de 2005, o las normas que lo modifiquen, sustituyan o deroguen, con excepción de los distribuidores minoristas en estación de servicio en un municipio ubicado en zona de frontera.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1.</w:t>
      </w:r>
      <w:r w:rsidRPr="003A174E">
        <w:rPr>
          <w:rFonts w:ascii="Georgia" w:hAnsi="Georgia"/>
          <w:i/>
          <w:sz w:val="24"/>
          <w:szCs w:val="24"/>
        </w:rPr>
        <w:t xml:space="preserve"> El Gobierno nacional reglamentará las características y condiciones especiales que se requieran para la determinación de las contribuciones especiales a que hace referencia el presente artículo, así como los asuntos relacionados con la declaración, administración, fiscalización, el cálculo, cobro, recaudo y aplicación del anticipo y demás aspectos relacionados con obligaciones formales y de procedimiento. Las sanciones e intereses por el incumplimiento de las obligaciones formales y sustanciales relacionadas con la contribución especial serán las mismas establecidas en el Estatuto Tributario para el impuesto sobre la renta y complementarios.</w:t>
      </w:r>
    </w:p>
    <w:p w:rsidR="00EC45FF" w:rsidRPr="003A174E" w:rsidRDefault="00EC45FF" w:rsidP="00EC45FF">
      <w:pPr>
        <w:spacing w:afterLines="20" w:after="48" w:line="240" w:lineRule="auto"/>
        <w:jc w:val="both"/>
        <w:rPr>
          <w:rFonts w:ascii="Georgia" w:hAnsi="Georgia"/>
          <w:b/>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2</w:t>
      </w:r>
      <w:r w:rsidRPr="003A174E">
        <w:rPr>
          <w:rFonts w:ascii="Georgia" w:hAnsi="Georgia"/>
          <w:i/>
          <w:sz w:val="24"/>
          <w:szCs w:val="24"/>
        </w:rPr>
        <w:t>. El manejo de los recursos del pago de las contribuciones especiales de la CRA y la CREG a que hace referencia el presente artículo realizarán de acuerdo con los mecanismos previstos en los artículos 72 de la Ley 142 de 1994 y 21 de la Ley 143 de 1994.  En el evento de existir excedentes de la contribución especial de la CREG provenientes de las actividades reguladas de combustibles líquidos, debido a recursos no ejecutados en el período presupuestal, dichos excedentes serán compensados al pago de la contribución especial de cada empresa del sector de combustibles líquidos en la siguiente vigencia fiscal.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lastRenderedPageBreak/>
        <w:t>PARÁGRAFO 3.</w:t>
      </w:r>
      <w:r w:rsidRPr="003A174E">
        <w:rPr>
          <w:rFonts w:ascii="Georgia" w:hAnsi="Georgia"/>
          <w:i/>
          <w:sz w:val="24"/>
          <w:szCs w:val="24"/>
        </w:rPr>
        <w:t xml:space="preserve"> Los sujetos pasivos objeto de la presente contribución están obligados a reportar a más tardar el 30 de abril de cada vigencia la información requerida para el cálculo de la tarifa y la liquidación de la contribución especial en el formato que para el efecto defina la CRA, la CREG y la SSPD a través del SUI.</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El no reporte de información, en las condiciones de oportunidad, calidad e integralidad definidos por la SSPD, generará la imposición de las sanciones a que hubiere lugar.</w:t>
      </w:r>
    </w:p>
    <w:p w:rsidR="00EC45FF" w:rsidRPr="003A174E" w:rsidRDefault="00EC45FF" w:rsidP="00EC45FF">
      <w:pPr>
        <w:spacing w:afterLines="20" w:after="48" w:line="240" w:lineRule="auto"/>
        <w:jc w:val="both"/>
        <w:rPr>
          <w:rFonts w:ascii="Georgia" w:hAnsi="Georgia"/>
          <w:b/>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TRANSITORIO.</w:t>
      </w:r>
      <w:r w:rsidRPr="003A174E">
        <w:rPr>
          <w:rFonts w:ascii="Georgia" w:hAnsi="Georgia"/>
          <w:i/>
          <w:sz w:val="24"/>
          <w:szCs w:val="24"/>
        </w:rPr>
        <w:t xml:space="preserve"> Para la vigencia de 2019 el plazo para el cargue de la información será el 31 de julio.</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ARTICULO 20°. SANCIONES</w:t>
      </w:r>
      <w:r w:rsidRPr="003A174E">
        <w:rPr>
          <w:rFonts w:ascii="Georgia" w:hAnsi="Georgia"/>
          <w:i/>
          <w:sz w:val="24"/>
          <w:szCs w:val="24"/>
        </w:rPr>
        <w:t xml:space="preserve">. Modifíquese el numeral 81.2 del artículo 81 de la Ley 142 de 1994, el cual quedará así: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rPr>
        <w:t>“81.</w:t>
      </w:r>
      <w:r w:rsidRPr="003A174E">
        <w:rPr>
          <w:rFonts w:ascii="Georgia" w:hAnsi="Georgia"/>
          <w:i/>
          <w:sz w:val="24"/>
          <w:szCs w:val="24"/>
          <w:lang w:val="es-CO"/>
        </w:rPr>
        <w:t xml:space="preserve">2 Multas desde 1 hasta 100.000 salarios mínimos legales mensuales vigentes al momento de la imposición de la sanción, a favor del Fondo Empresarial creado por la Ley 812 de 2003. El monto de la multa se graduará teniendo en cuenta: 1) el impacto de la infracción sobre la buena marcha del servicio público prestado, 2) el factor de reincidencia considerando el año inmediatamente anterior a la fecha de imposición de la sanción; y 3) La situación financiera de la empresa, para lo cual, se efectuará un análisis de los estados financieros del prestador con corte al 31 de diciembre del año inmediatamente anterior a la fecha de imposición de la sanción. Si la infracción se cometió durante varios años, el monto máximo que arriba se indica se podrá multiplicar por dicho número de años. Si el infractor no proporciona la información necesaria que se le solicite, para determinar el monto de la multa a imponer, dentro de los treinta (30) días siguientes al requerimiento formulado, se le aplicarán las otras sanciones previstas en este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multa a imponer a una persona natural que colabore, facilite, autorice, ejecute o tolere conductas violatorias del régimen de los servicios públicos domiciliarios será de 1 hasta 1.500 salarios mínimos legales mensuales vigentes al momento de la imposición de la sanción. El monto de la multa se graduará teniendo en cuenta: 1) El impacto de la infracción sobre la buena marcha del servicio público prestado y/o sobre el oportuno y efectivo ejercicio de la función de inspección, vigilancia y control a cargo de la Superintendencia; 2) La persistencia en la conducta infractora; 3) El factor de reincidencia considerando el año inmediatamente anterior a la fecha de imposición de la sanción; 4) La colaboración del investigado en el desarrollo de las funciones de inspección, control y vigilancia a cargo de la Superintendencia, y 5) El grado de participación de la persona implicada.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facultad para imponer sanciones por la violación al régimen de los servicios públicos domiciliarios caducará a los cinco (5) años de producida la conducta, los cuales se contarán a partir del día siguiente de ocurrido el hecho generador de la sanción o de la última infracción, si la conducta se prolonga en el tiempo.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21°. TARIFA DE COBROS POR LOS SERVICIOS TÉCNICOS DE PLANEACIÓN DE LA UPME.</w:t>
      </w:r>
      <w:r w:rsidRPr="003A174E">
        <w:rPr>
          <w:rFonts w:ascii="Georgia" w:hAnsi="Georgia"/>
          <w:i/>
          <w:sz w:val="24"/>
          <w:szCs w:val="24"/>
          <w:lang w:val="es-CO"/>
        </w:rPr>
        <w:t xml:space="preserve"> La Unidad de Planeación Minero Energética –UPME, en los términos del literal i) del artículo 16 de la Ley 143 de 1994, podrá cobrar a aquellas personas naturales o jurídicas que utilicen o soliciten los servicios técnicos de planeación y asesoría relacionados con las actividades de: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Evaluación de proyectos de eficiencia energética y fuentes no convencionales de energía y gestión eficiente de la energía, para acceder a los incentivos tributarios;</w:t>
      </w:r>
    </w:p>
    <w:p w:rsidR="00EC45FF" w:rsidRPr="003A174E" w:rsidRDefault="00EC45FF" w:rsidP="00EC45FF">
      <w:pPr>
        <w:spacing w:afterLines="20" w:after="48" w:line="240" w:lineRule="auto"/>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Evaluación de proyectos del sector energético para acceder a la línea de redescuento con tasa compensada de la Financiera de Desarrollo Territorial S.A. - FINDETER.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Emisión de conceptos sobre las conexiones al Sistema Interconectado Nacional, en el marco de la expansión de generación y transmisión de energía, de conformidad con la delegación efectuada por el Ministerio de Minas y Energía.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sistema y método de cálculo de la tarifa incluirá:</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El valor total de los honorarios de los profesionales requeridos para la realización de la tarea propuesta. Para este fin se estimará el número de profesionales/mes o contratistas/mes y se aplicarán las categorías y tarifas de honorarios de contratos de la UPME.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El valor total de los viáticos y gastos de viaje de los profesionales que se ocasionen para el estudio, la expedición, el seguimiento y/o el monitoreo del servicio técnico de planeación y demás instrumentos de control y manejo establecidos en la ley, las resoluciones internas y los reglamentos. Para este fin, sobre el estimativo de visitas a la zona del proyecto se calculará el monto de los gastos de viaje necesarios, valorados de acuerdo con las tarifas del transporte público y la escala de viáticos aplicable a la UPME.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tarifas que se cobrarán por concepto de la prestación de los servicios de planeación y asesoría descritos corresponderá a una tasa hasta de: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El 1% de los beneficios tributarios solicitados por el usuario solicitante, en el caso de la evaluación de los proyectos de eficiencia energética y fuentes no convencionales de energía y gestión eficiente de la energía;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El 1% del valor de los proyectos del sector energético a financiar con la línea de redescuento con tasa compensada de la Financiera de Desarrollo Territorial S.A. - FINDETER.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- 50 SMLMV por solicitud de conexión al Sistema Interconectado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se recauden por concepto del cobro de los citados servicios técnicos de planeación y asesoría de que trata el presente artículo, serán depositados en un patrimonio autónomo que la UPME constituirá a través de un contrato de fiducia mercantil que se someterá a las normas del derecho privado. Dichos recursos serán utilizados para sufragar los costos relacionados con la emisión de conceptos técnicos, la evaluación y el seguimiento en que deba incurrir la UPME para la prestación de estos servicios.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22º. VIGENCIA FONDOS ELÉCTRICOS</w:t>
      </w:r>
      <w:r w:rsidRPr="003A174E">
        <w:rPr>
          <w:rFonts w:ascii="Georgia" w:hAnsi="Georgia"/>
          <w:i/>
          <w:sz w:val="24"/>
          <w:szCs w:val="24"/>
          <w:lang w:val="es-CO"/>
        </w:rPr>
        <w:t>. El Fondo de Apoyo Financiero para la Energización de Zonas Rurales Interconectadas – FAER creado por el artículo 105 de la Ley 788 de 2002, el Programa de Normalización de Redes Eléctricas – PRONE creado por el artículo 1 de la Ley 1117 de 2006 y el Fondo de Apoyo Financiero para la Energización de las Zonas No Interconectadas – FAZNI de que trata el artículo 82 de la Ley 633 de 2000, tendrán vigencia hasta el 31 de diciembre de 2030.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Estos fondos recibirán recursos de conformidad con las condiciones y tarifas que se encuentran vigentes a la fecha de expedición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23º. LICENCIA AMBIENTAL TEMPORAL PARA LA FORMALIZACIÓN MINERA.</w:t>
      </w:r>
      <w:r w:rsidRPr="003A174E">
        <w:rPr>
          <w:rFonts w:ascii="Georgia" w:hAnsi="Georgia"/>
          <w:i/>
          <w:sz w:val="24"/>
          <w:szCs w:val="24"/>
          <w:lang w:val="es-CO"/>
        </w:rPr>
        <w:t xml:space="preserve"> Las actividades de explotación minera que pretendan obtener su título minero bajo el marco normativo de la formalización de minería tradicional o en virtud de la formalización que ocurra con posterioridad a las declaratorias y delimitaciones de áreas de reserva especial o que pretendan ser cobijadas a través de alguno de los mecanismos para la formalización bajo el amparo de un título minero en la pequeña minería, deberán tramitar y obtener licencia ambiental temporal para la formalización minera.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efecto, dentro de los tres meses siguiente a la firmeza del acto administrativo que autoriza el subcontrato de formalización, que aprueba la devolución de áreas para la formalización o que declara y delimita el área de reserva especial de que trata el artículo 31 de la Ley 685 de 2001, se deberá radicar por parte del interesado el respectivo Estudio de Impacto Ambiental junto con la solicitud de licencia ambiental temporal para la formalización minera.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Una vez radicado el Estudio de Impacto Ambiental, la autoridad ambiental, dentro de los treinta (30) días siguientes, se pronunciará, mediante acto administrativo, sobre la viabilidad o no de la licencia ambiental temporal para la formalización minera,  la cual tendrá vigencia por el término de duración del trámite de formalización minera y dos (2) meses adicionales después de otorgado el contrato de concesión minera o la anotación del subcontrato en el Registro Minero Nacional, término en el cual deberá presentarse por el interesado la solicitud de licencia ambiental global o definitiva.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autoridad ambiental que otorga la licencia ambiental temporal para la formalización minera, deberá hacer seguimiento y control a los términos y condiciones establecidos en ella y en caso de inobservancia de los mismos procederá a requerir por una sola vez al interesado, para que en un término no mayor a treinta (30) días subsane las faltas encontradas. Vencido este término, la autoridad ambiental se pronunciará, y en el evento en que el interesado no subsane la falta o no desvirtúe el incumplimiento, comunicará tal situación a la autoridad minera dentro de los cinco (5) días siguientes, a efectos de que dicha entidad proceda de manera inmediata al rechazo de la solicitud de formalización de minería tradicional o a la revocatoria del acto administrativo de autorización del subcontrato de formalización minera, de delimitación y declaración del Área de Reserva Especial o el de la aprobación de la devolución de áreas para la formalización. De la actuación que surta la autoridad minera se correrá traslado a la Policía Nacional, para lo de su competencia.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No obstante lo anterior, una vez otorgado el contrato de concesión minera o realizado la anotación en el Registro Minero Nacional del subcontrato de formalización, su titular deberá tramitar y obtener ante la autoridad ambiental competente la correspondiente licencia ambiental global o definitiva que ampare la actividad. Este trámite deberá ceñirse a los términos y condiciones establecidos en el Título VIII de la Ley 99 de 1993 y sus normas reglamentarias. En todo caso, el acto administrativo de inicio del trámite de la licencia ambiental global antes mencionado, extenderá la vigencia de la licencia ambiental temporal para la formalización hasta que la autoridad ambiental competente se pronuncie sobre la viabilidad o no de la licencia ambiental global o definitiva. El incumplimiento de los términos y condiciones aquí descritos serán causal de rechazo de la solicitudes de formalización de minería tradicional o del subcontrato de formalización minera o de revocatoria de los actos administrativos de aceptación de la devolución de áreas para la formalización o del de declaración y delimitación del Área de Reserva Especial o de caducidad del contrato de concesión minera, según sea el caso; así como de la imposición de las medidas preventivas y sancionatorias consagradas en la Ley 1333 de 2009.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todo caso, tanto las autoridades ambientales competentes como la autoridad minera deberán observar de manera estricta el cumplimiento de los plazos establecidos en las normas que regulan los procesos del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de Ambiente y Desarrollo Sostenible deberá expedir los términos de referencia diferenciales para la elaboración del estudio de impacto ambiental de la licencia ambiental temporal para la formalización minera, teniendo en cuenta la particularidad de los procesos de formalización de que trata el presente artículo. Las autoridades ambientales competentes cobrarán los servicios de seguimiento ambiental que se efectúen a las actividades mineras durante la implementación de la licencia ambienta temporal para la formalización minera de conformidad con lo dispuesto en la Ley 633 de 2000, sin perjuicio del cobro del servicio de evaluación </w:t>
      </w:r>
      <w:r w:rsidRPr="003A174E">
        <w:rPr>
          <w:rFonts w:ascii="Georgia" w:hAnsi="Georgia"/>
          <w:i/>
          <w:sz w:val="24"/>
          <w:szCs w:val="24"/>
          <w:lang w:val="es-CO"/>
        </w:rPr>
        <w:lastRenderedPageBreak/>
        <w:t xml:space="preserve">que se deba realizar para la imposición del instrumento de manejo y control ambiental que ampare la operación de estas actividades.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solicitudes de formalización de minería tradicional que presentaron plan de manejo ambiental no requerirán presentar el estudio de impacto ambiental, por lo tanto, la licencia ambiental temporal para la formalización se otorgará con fundamento en el mencionado plan. En el evento en que el plan de manejo ambiental haya sido aprobado, este será el instrumento de manejo y control ambiental que amparará el proceso.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solicitudes de formalización de minería tradicional que no hayan presentado plan de manejo ambiental, las áreas de reserva especial declaradas y delimitadas, los subcontratos de formalización autorizados y aprobados, y las devoluciones de áreas aprobadas para la formalización antes de la expedición de la presente ley, tendrán un plazo de tres (3) meses para presentar el estudio de impacto ambiental y la solicitud de licencia ambiental temporal para la formalización, contado a partir del día siguiente a la entrada en vigencia de los términos de referencia diferenciales para la elaboración del estudio de impacto ambiental de la licencia ambiental temporal para la formalización minera por parte del Ministerio de Ambiente y Desarrollo Sostenible.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24º. CESIÓN DE DERECHOS MINEROS.</w:t>
      </w:r>
      <w:r w:rsidRPr="003A174E">
        <w:rPr>
          <w:rFonts w:ascii="Georgia" w:hAnsi="Georgia"/>
          <w:i/>
          <w:sz w:val="24"/>
          <w:szCs w:val="24"/>
          <w:lang w:val="es-CO"/>
        </w:rPr>
        <w:t xml:space="preserve"> La cesión de derechos emanados de un título minero requerirá solicitud por parte del beneficiario del título, acompañada del documento de negociación de la cesión de derechos. Esta solicitud deberá ser resuelta por la Autoridad Minera en un término de sesenta (60) días, en los cuales verificará los requisitos de orden legal y económico a que alude el artículo 22 de la Ley 1753 de 2015 o aquella que la sustituya o modifique. En caso de ser aprobada la cesión se inscribirá en el Registro Minero Nacional el acto administrativo de aprobación.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25º. SISTEMA DE CUADRÍCULA EN LA TITULACIÓN MINERA.</w:t>
      </w:r>
      <w:r w:rsidRPr="003A174E">
        <w:rPr>
          <w:rFonts w:ascii="Georgia" w:hAnsi="Georgia"/>
          <w:i/>
          <w:sz w:val="24"/>
          <w:szCs w:val="24"/>
          <w:lang w:val="es-CO"/>
        </w:rPr>
        <w:t xml:space="preserve"> La implementación del sistema de cuadrículas se llevará a cabo de acuerdo con las normas de información geoespacial vigentes y los lineamientos que para el efecto defina la autoridad minera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Todas las solicitudes y propuestas se evaluarán con base en el sistema de cuadrícula minera implementado por la autoridad minera nacional. Por lo anterior no se permitirá la superposición de propuestas sobre una misma celda, con excepción de las concesiones concurrentes. Se entiende por celda el cuadro definido por la autoridad minera nacional como una unidad de medida para la delimitación del área de las solicitudes y contratos de concesión minera.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títulos mineros otorgados con anterioridad a la entrada en operación del sistema de cuadrícula o el que haga sus veces, migrará a este sistema manteniendo </w:t>
      </w:r>
      <w:r w:rsidRPr="003A174E">
        <w:rPr>
          <w:rFonts w:ascii="Georgia" w:hAnsi="Georgia"/>
          <w:i/>
          <w:sz w:val="24"/>
          <w:szCs w:val="24"/>
          <w:lang w:val="es-CO"/>
        </w:rPr>
        <w:lastRenderedPageBreak/>
        <w:t>las condiciones y coordenadas en las fueron otorgados, para lo cual se atenderá  la metodología que para el efecto establezca la autoridad minera nacional.</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ARTÍCULO 26º. PRÓRROGAS DE LOS CONTRATOS DE CONCESIÓN MINERA DEL DECRETO 2655 DE 1988. </w:t>
      </w:r>
      <w:r w:rsidRPr="003A174E">
        <w:rPr>
          <w:rFonts w:ascii="Georgia" w:hAnsi="Georgia"/>
          <w:i/>
          <w:sz w:val="24"/>
          <w:szCs w:val="24"/>
          <w:lang w:val="es-CO"/>
        </w:rPr>
        <w:t xml:space="preserve">Los contratos de concesión de minería suscritos en vigencia del Decreto 2655 de 1988 podrán prorrogarse. Para el efecto, mínimo seis (6) meses antes de vencerse el período de explotación y encontrándose a paz y salvo con todas las obligaciones derivadas del contrato, el concesionario podrá solicitar la prórroga hasta por treinta (30) años, la cual no será automática.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autoridad minera nacional determinará si concede o no la prórroga, teniendo en cuenta la conveniencia de la misma para los intereses del Estado, de acuerdo con los criterios que para el efecto establezca dicha autoridad. Adicionalmente, podrá establecer nuevas condiciones contractuales y pactar nuevas contraprestaciones adicionales a las regalías.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Perfeccionada la prórroga, en los términos del artículo 77 de la Ley 685 de 2001 o la norma que la sustituya o modifique, el contrato prorrogado deberá cumplir con las normas ambientales vigentes. Las labores de explotación no se suspenderán mientras se perfeccione el nuevo contrato y se adecuen los instrumentos ambientales del contrato inicial, de acuerdo con lo que determine la autoridad ambiental.</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27º.</w:t>
      </w:r>
      <w:r w:rsidRPr="003A174E">
        <w:rPr>
          <w:rFonts w:ascii="Georgia" w:hAnsi="Georgia"/>
          <w:i/>
          <w:sz w:val="24"/>
          <w:szCs w:val="24"/>
          <w:lang w:val="es-CO"/>
        </w:rPr>
        <w:t xml:space="preserve"> </w:t>
      </w:r>
      <w:r w:rsidRPr="003A174E">
        <w:rPr>
          <w:rFonts w:ascii="Georgia" w:hAnsi="Georgia"/>
          <w:b/>
          <w:bCs/>
          <w:i/>
          <w:sz w:val="24"/>
          <w:szCs w:val="24"/>
          <w:lang w:val="es-CO"/>
        </w:rPr>
        <w:t>LIQUIDACIÓN DE CONTRATOS DE CONCESIÓN MINERA.</w:t>
      </w:r>
      <w:r w:rsidRPr="003A174E">
        <w:rPr>
          <w:rFonts w:ascii="Georgia" w:hAnsi="Georgia"/>
          <w:i/>
          <w:sz w:val="24"/>
          <w:szCs w:val="24"/>
          <w:lang w:val="es-CO"/>
        </w:rPr>
        <w:t xml:space="preserve"> Los contratos de concesión minera de cualquier régimen deberán ser liquidados de mutuo acuerdo a su terminación y dentro del término fijado en el respectivo contrato, o dentro del que acuerden las partes para el efecto. De no existir tal término, la liquidación se realizará dentro de los doce (12) meses siguientes a la expedición del acto administrativo que declare su terminación.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aquellos casos en que el contratista no se presente a la liquidación del contrato previa notificación o convocatoria por parte de la autoridad minera, o las partes no lleguen a un acuerdo, la entidad liquidará el contrato en forma unilateral mediante acto administrativo debidamente motivado dentro de los dos (2) meses siguientes a la convocatoria o a la falta de acuerdo, de conformidad con lo dispuesto en el artículo 141 del Código de Procedimiento Administrativo y de lo Contencioso Administrativo. Vencido el plazo anteriormente establecido sin la realización de la liquidación, la autoridad minera podrá liquidar el contrato en cualquier tiempo dentro de los dos (2) años siguientes de mutuo acuerdo o unilateralmente, sin perjuicio de lo previsto en el artículo 141 ibídem.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el evento en que el concesionario minero presente salvedades en la liquidación por mutuo acuerdo, la liquidación unilateral solo procederá en los aspectos que no hayan sido objeto de acuerdo.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ARTÍCULO 28º. SERVIDUMBRE MINERA. </w:t>
      </w:r>
      <w:r w:rsidRPr="003A174E">
        <w:rPr>
          <w:rFonts w:ascii="Georgia" w:hAnsi="Georgia"/>
          <w:i/>
          <w:sz w:val="24"/>
          <w:szCs w:val="24"/>
          <w:lang w:val="es-CO"/>
        </w:rPr>
        <w:t>El procedimiento para la imposición de servidumbres mineras será el previsto en la Ley 1274 de 2009.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29º.</w:t>
      </w:r>
      <w:r w:rsidRPr="003A174E">
        <w:rPr>
          <w:rFonts w:ascii="Georgia" w:hAnsi="Georgia"/>
          <w:i/>
          <w:sz w:val="24"/>
          <w:szCs w:val="24"/>
          <w:lang w:val="es-CO"/>
        </w:rPr>
        <w:t xml:space="preserve"> </w:t>
      </w:r>
      <w:r w:rsidRPr="003A174E">
        <w:rPr>
          <w:rFonts w:ascii="Georgia" w:hAnsi="Georgia"/>
          <w:b/>
          <w:bCs/>
          <w:i/>
          <w:sz w:val="24"/>
          <w:szCs w:val="24"/>
          <w:lang w:val="es-CO"/>
        </w:rPr>
        <w:t>LIBERACIÓN DE ÁREAS.</w:t>
      </w:r>
      <w:r w:rsidRPr="003A174E">
        <w:rPr>
          <w:rFonts w:ascii="Georgia" w:hAnsi="Georgia"/>
          <w:i/>
          <w:sz w:val="24"/>
          <w:szCs w:val="24"/>
          <w:lang w:val="es-CO"/>
        </w:rPr>
        <w:t xml:space="preserve"> Las áreas que hayan sido objeto de una solicitud minera y que por cualquier causa queden libres, sólo podrán ser objeto de propuesta de contrato de concesión trascurridos quince (15) días después de la firmeza del acto administrativo de rechazo o desistimiento o cualquiera otro que implique la libertad del área.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área que haya sido objeto de un contrato de concesión minera, que termine por cualquier causa, sólo se podrá desanotar del Catastro Minero Nacional dentro de los quince (15) días siguientes a la suscripción del acta de liquidación bilateral o a la liquidación unilateral del mismo. En el caso de los títulos mineros que no son objeto de liquidación se seguirán las reglas de este artículo sobre solicitudes mineras. El acto administrativo a que se refiere el inciso primero de este artículo, el que establece la liquidación del contrato, o el que da por terminado el título minero, deberán ser publicados en la página electrónica de la autoridad minera o en el medio que hiciere sus veces dentro de los cinco (5) días siguientes a la ejecutoria o firmeza del acto. Dentro de este último término deberá inscribirse en el Registro Minero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30º.</w:t>
      </w:r>
      <w:r w:rsidRPr="003A174E">
        <w:rPr>
          <w:rFonts w:ascii="Georgia" w:hAnsi="Georgia"/>
          <w:i/>
          <w:sz w:val="24"/>
          <w:szCs w:val="24"/>
          <w:lang w:val="es-CO"/>
        </w:rPr>
        <w:t xml:space="preserve"> </w:t>
      </w:r>
      <w:r w:rsidRPr="003A174E">
        <w:rPr>
          <w:rFonts w:ascii="Georgia" w:hAnsi="Georgia"/>
          <w:b/>
          <w:bCs/>
          <w:i/>
          <w:sz w:val="24"/>
          <w:szCs w:val="24"/>
          <w:lang w:val="es-CO"/>
        </w:rPr>
        <w:t>REPORTE DE INFORMACIÓN AL MINISTERIO DE MINAS Y ENERGÍA.</w:t>
      </w:r>
      <w:r w:rsidRPr="003A174E">
        <w:rPr>
          <w:rFonts w:ascii="Georgia" w:hAnsi="Georgia"/>
          <w:i/>
          <w:sz w:val="24"/>
          <w:szCs w:val="24"/>
          <w:lang w:val="es-CO"/>
        </w:rPr>
        <w:t xml:space="preserve"> El Ministerio de Minas y Energía en su calidad de administrador de los recursos destinados al pago de subsidios, a la ampliación de cobertura y a la mejora de calidad, entre otros, para la asignación de dichos recursos, además de la información reportada por los prestadores al Sistema Único de Información - SUI, podrá solicitar directamente a los prestadores del servicio público de energía la información que requiera, efectuar visitas, adelantar auditorías y realizar todas las gestiones necesarias para verificar la destinación de los recursos asignados.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w:t>
      </w:r>
      <w:r w:rsidRPr="003A174E">
        <w:rPr>
          <w:rFonts w:ascii="Georgia" w:hAnsi="Georgia"/>
          <w:i/>
          <w:sz w:val="24"/>
          <w:szCs w:val="24"/>
          <w:lang w:val="es-CO"/>
        </w:rPr>
        <w:t>El Ministerio de Minas y Energía deberá presentar un informe anual al Congreso de la República sobre los recursos destinados para pago de subsidios y la destinación de los mismos para mejorar la ampliación, calidad y cobertura.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31º.</w:t>
      </w:r>
      <w:r w:rsidRPr="003A174E">
        <w:rPr>
          <w:rFonts w:ascii="Georgia" w:hAnsi="Georgia"/>
          <w:i/>
          <w:sz w:val="24"/>
          <w:szCs w:val="24"/>
          <w:lang w:val="es-CO"/>
        </w:rPr>
        <w:t xml:space="preserve"> </w:t>
      </w:r>
      <w:r w:rsidRPr="003A174E">
        <w:rPr>
          <w:rFonts w:ascii="Georgia" w:hAnsi="Georgia"/>
          <w:b/>
          <w:bCs/>
          <w:i/>
          <w:sz w:val="24"/>
          <w:szCs w:val="24"/>
          <w:lang w:val="es-CO"/>
        </w:rPr>
        <w:t>FORTALECIMIENTO DE LA FISCALIZACIÓN, SEGUIMIENTO Y CONTROL DE ACTIVIDADES MINERAS.</w:t>
      </w:r>
      <w:r w:rsidRPr="003A174E">
        <w:rPr>
          <w:rFonts w:ascii="Georgia" w:hAnsi="Georgia"/>
          <w:i/>
          <w:sz w:val="24"/>
          <w:szCs w:val="24"/>
          <w:lang w:val="es-CO"/>
        </w:rPr>
        <w:t xml:space="preserve"> Las labores de exploración y explotación que se desarrollen a través de las figuras de reconocimientos de propiedad privada, autorizaciones temporales, áreas de reserva especial declaradas y delimitadas por la autoridad minera nacional, solicitudes de legalización y formalización minera y mecanismos de trabajo bajo el amparo de un título minero serán objeto de fiscalización.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Para la fiscalización de las actividades mineras que se desarrollan en los reconocimientos de propiedad privada, los beneficiarios deberán presentar en el mes de noviembre de cada año, un informe de las labores mineras ejecutadas en dicha anualidad y el programa de las que se realizarán en la siguiente. Así mismo, deberán cumplir con las normas de seguridad e higiene minera, con la declaración de producción de minerales y con la liquidación y pago de las regalías de manera trimestral. La autoridad minera establecerá el detalle de la información a presentar y los requisitos para su entrega.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beneficiarios de autorizaciones temporales deberán contar con la aprobación por parte de la autoridad minera, de un Plan de Trabajo de Explotación para la ejecución de sus actividades mineras y para su fiscalización. Los términos de referencia para la elaboración, contenido, evaluación y aprobación de este Plan se expedirán por la autoridad minera.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Mientras obtienen el contrato de concesión minera, las actividades mineras realizadas en las Áreas de Reserva Especial declaradas, en las solicitudes de legalización y de formalización minera, y en las devoluciones de áreas para la formalización minera, serán objeto de fiscalización respecto del cumplimiento de los reglamentos de seguridad e higiene minera y el pago de las regalías que genere la explotación. Las Áreas de Reserva Especial que cuenten con condiciones de seguridad e higiene minera y con instrumento ambiental diferencial, luego de su declaratoria, podrán ejecutar operaciones mineras sin restricción. El incumplimiento de las obligaciones establecidas en este inciso ocasionará la suspensión inmediata de las actividades de explotación y el rechazo de la solicitud o la terminación de la declaratoria de Área de Reserva Especial.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incumplimiento de las obligaciones señaladas en los incisos segundo y tercero del presente artículo, serán objeto de multa en los términos previstos por los artículos 115 y 287 de la Ley 685 de 2001, sin perjuicio de las sanciones que, de acuerdo con la normativa ambiental, sean aplicables.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32°. SECRETARÍA TÉCNICA DEL OCAD PAZ.</w:t>
      </w:r>
      <w:r w:rsidRPr="003A174E">
        <w:rPr>
          <w:rFonts w:ascii="Georgia" w:hAnsi="Georgia"/>
          <w:i/>
          <w:sz w:val="24"/>
          <w:szCs w:val="24"/>
          <w:lang w:val="es-CO"/>
        </w:rPr>
        <w:t xml:space="preserve"> El Departamento Nacional de Planeación ejercerá la Secretaría Técnica del OCAD PAZ.</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33º. CAUSALES PARA ADELANTAR EL PROCEDIMIENTO CORRECTIVO Y SANCIONATORIO.</w:t>
      </w:r>
      <w:r w:rsidRPr="003A174E">
        <w:rPr>
          <w:rFonts w:ascii="Georgia" w:hAnsi="Georgia"/>
          <w:i/>
          <w:sz w:val="24"/>
          <w:szCs w:val="24"/>
          <w:lang w:val="es-CO"/>
        </w:rPr>
        <w:t xml:space="preserve"> Modifíquese el literal a) del artículo 113 de la Ley 1530 de 2012,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Incumplir con la destinación legal de los recursos del Sistema General de Regalías.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SUBSECCIÓN 2</w:t>
      </w:r>
    </w:p>
    <w:p w:rsidR="00EC45FF" w:rsidRPr="003A174E" w:rsidRDefault="00EC45FF" w:rsidP="00EC45FF">
      <w:pPr>
        <w:spacing w:afterLines="20" w:after="48" w:line="240" w:lineRule="auto"/>
        <w:jc w:val="center"/>
        <w:rPr>
          <w:rFonts w:ascii="Georgia" w:hAnsi="Georgia"/>
          <w:i/>
          <w:sz w:val="24"/>
          <w:szCs w:val="24"/>
          <w:lang w:val="es-CO"/>
        </w:rPr>
      </w:pPr>
      <w:r w:rsidRPr="003A174E">
        <w:rPr>
          <w:rFonts w:ascii="Georgia" w:hAnsi="Georgia"/>
          <w:b/>
          <w:i/>
          <w:sz w:val="24"/>
          <w:szCs w:val="24"/>
          <w:lang w:val="es-CO"/>
        </w:rPr>
        <w:t>LEGALIDAD PARA LA TRANSPARENCIA DE LAS FINANZAS PÚBLICAS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34º. FUNCIONAMIENTO DEL FONDO DE ESTABILIZACIÓN DE PRECIOS DE LOS COMBUSTIBLES - FEPC</w:t>
      </w:r>
      <w:r w:rsidRPr="003A174E">
        <w:rPr>
          <w:rFonts w:ascii="Georgia" w:hAnsi="Georgia"/>
          <w:i/>
          <w:sz w:val="24"/>
          <w:szCs w:val="24"/>
          <w:lang w:val="es-CO"/>
        </w:rPr>
        <w:t>. Para garantizar el funcionamiento y sostenibilidad del Fondo de Estabilización de Precios de los Combustibles –FEPC- el Ministerio de Hacienda y Crédito Público, como administrador del FEPC, podrá realizar directamente o a través de entidades especializadas, el diseño, gestión, adquisición y/o celebración de instrumentos y/o contratos de cobertura financiera sobre los precios del petróleo o de los combustibles líquidos en el mercado internacional, o sobre la tasa de cambio del peso colombiano por el dólar estadounidense.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Las decisiones de coberturas financieras previstas en este artículo deberán ser evaluadas de forma conjunta y en contexto con la función del FEPC, no por el desempeño de una operación individual sino como parte de una estrategia de estabilidad de los precios internos de los combustibles y de sostenibilidad del FEPC. En algunos periodos determinados por condiciones adversas del mercado, se podrán observar operaciones cuyos resultados sean iguales a cero o negativos por la naturaleza propia de las coberturas.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Los actos o contratos que se ejecuten para el control del riesgo de mercado y de crédito resultante de las operaciones o de la estrategia implementada según lo previsto en el presente artículo, se sujetarán a las normas del derecho privado aplicables a las mismas.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35º. OBLIGACIONES A CARGO DEL FONDO DE ESTABILIZACIÓN DE PRECIOS DE LOS COMBUSTIBLES - FEPC.</w:t>
      </w:r>
      <w:r w:rsidRPr="003A174E">
        <w:rPr>
          <w:rFonts w:ascii="Georgia" w:hAnsi="Georgia"/>
          <w:i/>
          <w:sz w:val="24"/>
          <w:szCs w:val="24"/>
          <w:lang w:val="es-CO"/>
        </w:rPr>
        <w:t xml:space="preserve"> Las obligaciones derivadas de las cuentas por cobrar constituidas por la Nación al Fondo de Estabilización de Precios de los Combustibles - FEPC creado por el artículo 69 de la Ley 1151 de 2007, prorrogado por el artículo 267 de la Ley 1753 de 2015, las cuales fueron autorizadas por la ley en contrapartida de la emisión de bonos u otros títulos de deuda pública, se entenderán extintas a partir del 31 de diciembre de 2019.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dar cumplimiento a lo establecido en el presente artículo, el Ministerio de Hacienda y Crédito Público realizará las operaciones necesarias para la extinción de la deuda de la que trata el presente artículo, y de sus respectivos intereses.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36º. PRECIO DE LOS COMBUSTIBLES A ESTABILIZAR.</w:t>
      </w:r>
      <w:r w:rsidRPr="003A174E">
        <w:rPr>
          <w:rFonts w:ascii="Georgia" w:hAnsi="Georgia"/>
          <w:i/>
          <w:sz w:val="24"/>
          <w:szCs w:val="24"/>
          <w:lang w:val="es-CO"/>
        </w:rPr>
        <w:t xml:space="preserve"> El Ministerio de Minas y Energía o la entidad delegada, establecerá la metodología de cálculo del valor del ingreso al productor de los combustibles líquidos y biocombustibles, así como las tarifas y márgenes asociados a la remuneración de toda la cadena de transporte, logística, comercialización y distribución. El Ministerio de Hacienda y Crédito Público determinará el mecanismo de estabilización de los precios de referencia de venta al público de los combustibles </w:t>
      </w:r>
      <w:r w:rsidRPr="003A174E">
        <w:rPr>
          <w:rFonts w:ascii="Georgia" w:hAnsi="Georgia"/>
          <w:i/>
          <w:sz w:val="24"/>
          <w:szCs w:val="24"/>
          <w:lang w:val="es-CO"/>
        </w:rPr>
        <w:lastRenderedPageBreak/>
        <w:t>regulados, que se hará a través del Fondo de Estabilización de Precios de los Combustibles - FEPC.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mecanismo de estabilización previsto por el FEPC no afectará los impuestos de carácter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37º. ADMINISTRACIÓN EFICIENTE DE RECURSOS PÚBLICOS.</w:t>
      </w:r>
      <w:r w:rsidRPr="003A174E">
        <w:rPr>
          <w:rFonts w:ascii="Georgia" w:hAnsi="Georgia"/>
          <w:i/>
          <w:sz w:val="24"/>
          <w:szCs w:val="24"/>
          <w:lang w:val="es-CO"/>
        </w:rPr>
        <w:t xml:space="preserve"> Modifíquese el artículo 149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149. ADMINISTRACIÓN EFICIENTE DE RECURSOS PÚBLICOS. Los recursos provenientes del Presupuesto General de la Nación transferidos a entidades financieras no podrán tener como objeto proveerlas de fondos sino atender los compromisos y obligaciones en desarrollo del objeto de las apropiaciones presupuestales.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consecuencia, los saldos de recursos girados a entidades financieras que no se encuentren respaldando compromisos u obligaciones del Presupuesto General de la Nación deberán ser reintegrados a la entidad estatal respectiva, de conformidad con la reglamentación que expida el Ministerio de Hacienda y Crédito Público. Los saldos así reintegrados podrán ser requeridos nuevamente para gastos referentes al cumplimiento de su objeto, sin que implique operación presupuestal alguna.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rendimientos financieros originados con recursos de la Nación deben consignarse en la Dirección General de Crédito Público y Tesoro Nacional, con excepción de aquellos rendimientos en los que la Ley haya determinado específicamente su tratamiento.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los negocios fiduciarios utilicen la creación de subcuentas, subprogramas, subproyectos, o cualquier otra modalidad de clasificación, deberán implementar de manera temporal la unidad de caja, sin afectar los derechos de los beneficiarios del negocio jurídico, para buscar eficiencia en el manejo de los recursos que les sitúa la Nación.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Además de lo dispuesto en los incisos primero y segundo del artículo 261 de la Ley 1450 de 2011, las entidades estatales del orden nacional que administren contribuciones parafiscales y los órganos de previsión y seguridad social que administren prestaciones sociales de carácter económico, podrán formar parte del Sistema de Cuenta Única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La Dirección General de Crédito Público y Tesoro Nacional podrá administrar excedentes de liquidez de entidades estatales de cualquier orden a través de depósitos en administración, de conformidad con la reglamentación que expida el Ministerio de Hacienda y Crédito Público.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w:t>
      </w:r>
      <w:r w:rsidRPr="003A174E">
        <w:rPr>
          <w:rFonts w:ascii="Georgia" w:hAnsi="Georgia"/>
          <w:b/>
          <w:i/>
          <w:sz w:val="24"/>
          <w:szCs w:val="24"/>
          <w:lang w:val="es-CO"/>
        </w:rPr>
        <w:t>PARÁGRAFO 3.</w:t>
      </w:r>
      <w:r w:rsidRPr="003A174E">
        <w:rPr>
          <w:rFonts w:ascii="Georgia" w:hAnsi="Georgia"/>
          <w:i/>
          <w:sz w:val="24"/>
          <w:szCs w:val="24"/>
          <w:lang w:val="es-CO"/>
        </w:rPr>
        <w:t xml:space="preserve"> Lo establecido en el inciso segundo de la presente disposición aplicará de manera especial para los recursos del Fondo de Reserva para la Estabilización de la Cartera Hipotecaria - FRECH de que tratan los artículos 48 y 49 de la Ley 546 de 1999 y el artículo 88 de la Ley 1151 de 2017, así como para los recursos del Subsidio de Vivienda de Interés Social Rural - SVISR depositados por el Banco Agrario, de conformidad con lo establecido en el Capítulo 1 del Título 1 de la Parte 2 del Libro 2 del Decreto 1071 de 2015 y sus normas modificatorias.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38º. ADMINISTRACIÓN DE ACTIVOS Y PASIVOS FINANCIEROS. </w:t>
      </w:r>
      <w:r w:rsidRPr="003A174E">
        <w:rPr>
          <w:rFonts w:ascii="Georgia" w:hAnsi="Georgia"/>
          <w:i/>
          <w:sz w:val="24"/>
          <w:szCs w:val="24"/>
          <w:lang w:val="es-CO"/>
        </w:rPr>
        <w:t>El Ministerio de Hacienda y Crédito Público, a través de la Dirección General de Crédito Publico y Tesoro Nacional será la encargada de administrar los activos y pasivos financieros de la Nación de forma directa y los activos financieros de los demás entes públicos por delegación de las entidades respectivas.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tal efecto, facúltese a la Dirección General de Crédito Público y Tesoro Nacional del Ministerio de Hacienda y Crédito Público para que realice las siguientes operaciones: compra y venta de títulos valores emitidos por la Nación, el Banco de la República, Fondo de Garantías de Instituciones Financieras - FOGAFÍN, entidades sujetas al control y vigilancia de la Superintendencia Financiera de Colombia y otros gobiernos y tesorerías; compra de deuda de la Nación; compras con pacto de retroventa, operaciones repo, simultáneas y transferencia temporal de valores con entidades públicas y con entidades financieras sujetas al control y vigilancia de la Superintendencia Financiera de Colombia; depósitos remunerados e inversiones financieras en entidades sujetas al control y vigilancia de la Superintendencia Financiera de Colombia; depósitos a término y compras de títulos emitidos por entidades bancarias y financieras del exterior; inversiones en instrumentos del mercado monetario administrados por entidades financieras del exterior; operaciones de cubrimiento de riesgos; préstamos transitorios a dicha Dirección General cuyo plazo se podrá prorrogar antes de su vencimiento, depósitos en administración de recursos de las entidades estatales de cualquier orden, eventos que no implican unidad de caja; préstamos de títulos valores a la citada Dirección a tasas de mercado; y las demás que autorice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Las operaciones de las que trata este artículo, así como los actos y contratos necesarios para su ejecución, se sujetarán a las normas de derecho privado y se podrán atender con cargo al servicio de la deuda si lo apropiado por los rendimientos de la colocación de los excedentes de la Dirección General de Crédito Público y Tesoro Nacional, fuera insuficiente.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En el manejo de los excedentes de liquidez, la Dirección General de Crédito Público y Tesoro Nacional podrá otorgar créditos de tesorería hasta por el plazo de un año a las entidades descentralizadas del orden </w:t>
      </w:r>
      <w:r w:rsidRPr="003A174E">
        <w:rPr>
          <w:rFonts w:ascii="Georgia" w:hAnsi="Georgia"/>
          <w:i/>
          <w:sz w:val="24"/>
          <w:szCs w:val="24"/>
          <w:lang w:val="es-CO"/>
        </w:rPr>
        <w:lastRenderedPageBreak/>
        <w:t>nacional, de conformidad con los criterios técnicos y condiciones que establezca el Ministerio de Hacienda y Crédito Público.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 xml:space="preserve">ARTÍCULO 39º. ORIENTACIÓN DEL GASTO A RESULTADOS. </w:t>
      </w:r>
      <w:r w:rsidRPr="003A174E">
        <w:rPr>
          <w:rFonts w:ascii="Georgia" w:hAnsi="Georgia"/>
          <w:i/>
          <w:sz w:val="24"/>
          <w:szCs w:val="24"/>
        </w:rPr>
        <w:t>Modifíquese el artículo 148 de la Ley 1753 de 2015, el cual quedará así:</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ARTÍCULO 148. PRESUPUESTO ORIENTADO A RESULTADOS</w:t>
      </w:r>
      <w:r w:rsidRPr="003A174E">
        <w:rPr>
          <w:rFonts w:ascii="Georgia" w:hAnsi="Georgia"/>
          <w:b/>
          <w:i/>
          <w:sz w:val="24"/>
          <w:szCs w:val="24"/>
        </w:rPr>
        <w:t>.</w:t>
      </w:r>
      <w:r w:rsidRPr="003A174E">
        <w:rPr>
          <w:rFonts w:ascii="Georgia" w:hAnsi="Georgia"/>
          <w:i/>
          <w:sz w:val="24"/>
          <w:szCs w:val="24"/>
        </w:rPr>
        <w:t xml:space="preserve"> La programación presupuestal debe orientarse a resultados, promover el uso eficiente y transparente de los recursos públicos y establecer una relación directa entre</w:t>
      </w:r>
      <w:r w:rsidRPr="003A174E">
        <w:rPr>
          <w:rFonts w:ascii="Georgia" w:hAnsi="Georgia"/>
          <w:i/>
          <w:sz w:val="24"/>
          <w:szCs w:val="24"/>
          <w:lang w:val="es-ES"/>
        </w:rPr>
        <w:t xml:space="preserve"> el ingreso,</w:t>
      </w:r>
      <w:r w:rsidRPr="003A174E">
        <w:rPr>
          <w:rFonts w:ascii="Georgia" w:hAnsi="Georgia"/>
          <w:i/>
          <w:sz w:val="24"/>
          <w:szCs w:val="24"/>
        </w:rPr>
        <w:t xml:space="preserve"> el gasto y los bienes y servicios entregados a la ciudadanía. Para el efecto, el presupuesto debe clasificarse mediante programas definidos que serán insumo para la elaboración de los planes de desarrollo y los planes plurianuales de inversión.</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jc w:val="both"/>
        <w:rPr>
          <w:rFonts w:ascii="Georgia" w:hAnsi="Georgia"/>
          <w:i/>
          <w:sz w:val="24"/>
          <w:szCs w:val="24"/>
        </w:rPr>
      </w:pPr>
      <w:r w:rsidRPr="003A174E">
        <w:rPr>
          <w:rFonts w:ascii="Georgia" w:hAnsi="Georgia"/>
          <w:i/>
          <w:sz w:val="24"/>
          <w:szCs w:val="24"/>
        </w:rPr>
        <w:t xml:space="preserve">La información sobre programación y ejecución presupuestal de los recursos de inversión de las entidades públicas del orden nacional y territorial debe reportarse a través del sistema de información unificada establecido para tal fin, de acuerdo con los lineamientos definidos para el efecto por el Departamento Nacional de Planeación.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jc w:val="both"/>
        <w:rPr>
          <w:rFonts w:ascii="Georgia" w:hAnsi="Georgia"/>
          <w:i/>
          <w:sz w:val="24"/>
          <w:szCs w:val="24"/>
        </w:rPr>
      </w:pPr>
      <w:r w:rsidRPr="003A174E">
        <w:rPr>
          <w:rFonts w:ascii="Georgia" w:hAnsi="Georgia"/>
          <w:i/>
          <w:sz w:val="24"/>
          <w:szCs w:val="24"/>
        </w:rPr>
        <w:t>El presupuesto orientado a resultados y la clasificación por programas aplicará a la Nación, a las entidades territoriales y, a todas las fuentes de financiación del gasto público</w:t>
      </w:r>
      <w:r w:rsidRPr="003A174E">
        <w:rPr>
          <w:rFonts w:ascii="Georgia" w:hAnsi="Georgia"/>
          <w:i/>
          <w:sz w:val="24"/>
          <w:szCs w:val="24"/>
          <w:lang w:val="es-ES"/>
        </w:rPr>
        <w:t xml:space="preserve">, de acuerdo con cada uno de los Planes de Desarrollo Territorial - </w:t>
      </w:r>
      <w:r w:rsidRPr="003A174E">
        <w:rPr>
          <w:rFonts w:ascii="Georgia" w:hAnsi="Georgia"/>
          <w:i/>
          <w:sz w:val="24"/>
          <w:szCs w:val="24"/>
        </w:rPr>
        <w:t>PDTS vigentes.</w:t>
      </w:r>
    </w:p>
    <w:p w:rsidR="00EC45FF" w:rsidRPr="003A174E" w:rsidRDefault="00EC45FF" w:rsidP="00EC45FF">
      <w:pPr>
        <w:spacing w:afterLines="20" w:after="48"/>
        <w:jc w:val="both"/>
        <w:rPr>
          <w:rFonts w:ascii="Georgia" w:hAnsi="Georgia"/>
          <w:i/>
          <w:sz w:val="24"/>
          <w:szCs w:val="24"/>
        </w:rPr>
      </w:pPr>
    </w:p>
    <w:p w:rsidR="00EC45FF" w:rsidRPr="003A174E" w:rsidRDefault="00EC45FF" w:rsidP="00EC45FF">
      <w:pPr>
        <w:spacing w:afterLines="20" w:after="48"/>
        <w:jc w:val="both"/>
        <w:rPr>
          <w:rFonts w:ascii="Georgia" w:hAnsi="Georgia"/>
          <w:i/>
          <w:sz w:val="24"/>
          <w:szCs w:val="24"/>
          <w:lang w:val="es-CO"/>
        </w:rPr>
      </w:pPr>
      <w:r w:rsidRPr="003A174E">
        <w:rPr>
          <w:rFonts w:ascii="Georgia" w:hAnsi="Georgia"/>
          <w:b/>
          <w:i/>
          <w:sz w:val="24"/>
          <w:szCs w:val="24"/>
        </w:rPr>
        <w:t>AR</w:t>
      </w:r>
      <w:r w:rsidRPr="003A174E">
        <w:rPr>
          <w:rFonts w:ascii="Georgia" w:hAnsi="Georgia"/>
          <w:b/>
          <w:i/>
          <w:sz w:val="24"/>
          <w:szCs w:val="24"/>
          <w:lang w:val="es-CO"/>
        </w:rPr>
        <w:t>TÍCULO 40°. SANEAMIENTO CONTABLE DE LOS ESTADOS FINANCIEROS DE LA NACIÓN.</w:t>
      </w:r>
      <w:r w:rsidRPr="003A174E">
        <w:rPr>
          <w:rFonts w:ascii="Georgia" w:hAnsi="Georgia"/>
          <w:i/>
          <w:sz w:val="24"/>
          <w:szCs w:val="24"/>
          <w:lang w:val="es-CO"/>
        </w:rPr>
        <w:t xml:space="preserve"> Con el fin de lograr el saneamiento contable de los estados financieros de la Nación, el Ministerio de Hacienda y Crédito Público hará los registros contables para depurar y castigar los saldos derivados de embargos judiciales por procesos ejecutivos decretados en contra de las diferentes entidades públicas, antes del 28 de febrero de 1995 y que recayeron contra el Tesoro Nacional – Cuenta Cajero del Banco de la República.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41º. SANEAMIENTO DE TÍTULOS DE BIENES INMUEBLES DE LA NACIÓN Y ENTIDADES EXTINTAS O INEXISTENTES DEL ORDEN NACIONAL.</w:t>
      </w:r>
      <w:r w:rsidRPr="003A174E">
        <w:rPr>
          <w:rFonts w:ascii="Georgia" w:hAnsi="Georgia"/>
          <w:i/>
          <w:sz w:val="24"/>
          <w:szCs w:val="24"/>
          <w:lang w:val="es-CO"/>
        </w:rPr>
        <w:t xml:space="preserve"> Los bienes inmuebles cuyos títulos de propiedad actualmente figuren en cabeza de entidades, establecimientos públicos, empresas industriales o comerciales del orden nacional, ya extintas o inexistentes o aparezcan asignados de manera indefinida o genérica a nombre de la Nación o el Estado colombiano, o cualquier expresión equivalente en su momento, se inscribirán por las autoridades registrales a título de asignación a nombre del Ministerio y/o Departamento Administrativo cabeza del último sector al que perteneció o debió pertenecer la entidad en ellos mencionada o al Ministerio cuyas funciones estén relacionadas con el objeto o destino del respectivo bien.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Para lo anterior, el Ministerio de Hacienda y Crédito Público determinará mediante acto administrativo motivado el Ministerio y/o Departamento Administrativo al que será asignado el inmueble. Si el inmueble no se requiere para la prestación de algún servicio a cargo del Gobierno nacional será asignado a la Central de Inversiones S.A - CISA. En caso de no poderse determinar la entidad a la que pertenecía o el sector al cual estaba destinado el uso del bien, la titularidad del mismo quedará en cabeza del Ministerio de Hacienda y Crédito Público, mientras se efectúa la asignación mencionada. El registro de este acto no generará impuestos, tasas o contribuciones.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Se exceptúa de lo dispuesto en este artículo los bienes baldíos rurales.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42º DE LAS MODALIDADES DE SELECCIÓN.</w:t>
      </w:r>
      <w:r w:rsidRPr="003A174E">
        <w:rPr>
          <w:rFonts w:ascii="Georgia" w:hAnsi="Georgia"/>
          <w:i/>
          <w:sz w:val="24"/>
          <w:szCs w:val="24"/>
          <w:lang w:val="es-CO"/>
        </w:rPr>
        <w:t xml:space="preserve"> Modifíquese el parágrafo 5 del artículo 2 de la Ley 1150 de 2007,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5.</w:t>
      </w:r>
      <w:r w:rsidRPr="003A174E">
        <w:rPr>
          <w:rFonts w:ascii="Georgia" w:hAnsi="Georgia"/>
          <w:i/>
          <w:sz w:val="24"/>
          <w:szCs w:val="24"/>
          <w:lang w:val="es-CO"/>
        </w:rPr>
        <w:t xml:space="preserve"> Los acuerdos marco de precios a que se refiere el inciso 2 del literal a) del numeral 2 del presente artículo, permitirán fijar las condiciones de oferta para la adquisición o suministro de bienes y servicios de características técnicas uniformes y de común utilización a las entidades estatales durante un período de tiempo determinado, en la forma, plazo y condiciones de entrega, calidad y garantía establecidas en el acuerdo.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selección de proveedores como consecuencia de la realización de un acuerdo marco de precios, le dará a las entidades estatales que suscriban el acuerdo, la posibilidad que mediante órdenes de compra directa, adquieran los bienes y servicios ofrecidos.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consecuencia, entre cada una de las entidades que formulen órdenes directas de compra y el respectivo proveedor, se constituirá un contrato en los términos y condiciones previstos en el respectivo acuerdo.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señalará la entidad o entidades que tendrán a su cargo el diseño, organización y celebración de los acuerdos marco de precios. El reglamento establecerá las condiciones bajo las cuales el uso de acuerdos marco de precios, se hará obligatorio para todas las entidades sometidas al Estatuto General de Contratación de la Administración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Organismos Autónomos, las Ramas Legislativa y Judicial y las entidades territoriales en ausencia de un acuerdo marco de precios diseñado por la entidad que señale el Gobierno nacional, podrán diseñar, organizar y celebrar acuerdos marco de precios propios.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 xml:space="preserve">ARTÍCULO 43º. TRANSPARENCIA EN CONTRATACIÓN DE MÍNIMA CUANTÍA. </w:t>
      </w:r>
      <w:r w:rsidRPr="003A174E">
        <w:rPr>
          <w:rFonts w:ascii="Georgia" w:hAnsi="Georgia"/>
          <w:i/>
          <w:sz w:val="24"/>
          <w:szCs w:val="24"/>
          <w:lang w:val="es-CO"/>
        </w:rPr>
        <w:t xml:space="preserve">Adiciónese el parágrafo 3 al artículo 94 de la Ley 1474 de 2011,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3</w:t>
      </w:r>
      <w:r w:rsidRPr="003A174E">
        <w:rPr>
          <w:rFonts w:ascii="Georgia" w:hAnsi="Georgia"/>
          <w:i/>
          <w:sz w:val="24"/>
          <w:szCs w:val="24"/>
          <w:lang w:val="es-CO"/>
        </w:rPr>
        <w:t xml:space="preserve">. En aquellos eventos en que las entidades estatales deban contratar bienes o servicios de características técnicas uniformes que se encuentren en un acuerdo marco de precios y cuyo valor no exceda del diez por ciento (10%) de la menor cuantía, las entidades deberán realizar la adquisición a través de la Tienda Virtual del Estado Colombiano, siempre que el bien o servicio esté disponible por ese medio.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que no se encuentren obligadas a hacer uso del acuerdo marco de precios igualmente podrán utilizar esta figura antes que la selección por mínima cuantía.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44º. INHABILIDAD POR INCUMPLIMIENTO REITERADO.</w:t>
      </w:r>
      <w:r w:rsidRPr="003A174E">
        <w:rPr>
          <w:rFonts w:ascii="Georgia" w:hAnsi="Georgia"/>
          <w:i/>
          <w:sz w:val="24"/>
          <w:szCs w:val="24"/>
          <w:lang w:val="es-CO"/>
        </w:rPr>
        <w:t xml:space="preserve"> Modifíquese el artículo 90 de la Ley 1474 de 2011,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90. INHABILIDAD POR INCUMPLIMIENTO REITERADO. Quedará inhabilitado el contratista que incurra en alguna de las siguientes conductas: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Haber sido objeto de imposición de cinco (5) o más multas durante la ejecución de uno o varios contratos, con una o varias entidades estatales, durante los últimos tres (3) años.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Haber sido objeto de declaratorias de incumplimiento contractual en por lo menos dos (2) contratos, con una o varias entidades estatales, durante los últimos tres (3) años.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Haber sido objeto de imposición de dos (2) multas y un (1) incumplimiento durante una misma vigencia fiscal, con una o varias entidades estatales.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 inhabilidad a que se refiere el presente artículo se extenderá a los socios de sociedades de personas a las cuales se haya declarado esta inhabilidad, así como a las sociedades de personas de las que aquellos formen parte con posterioridad a dicha declaratoria.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45º. ENAJENACIÓN DE PARTICIPACIONES MINORITARIAS DE LAS ENTIDADES ESTATALES.</w:t>
      </w:r>
      <w:r w:rsidRPr="003A174E">
        <w:rPr>
          <w:rFonts w:ascii="Georgia" w:hAnsi="Georgia"/>
          <w:i/>
          <w:sz w:val="24"/>
          <w:szCs w:val="24"/>
          <w:lang w:val="es-CO"/>
        </w:rPr>
        <w:t xml:space="preserve"> Modifíquese el artículo 258 de la Ley 1450 de 2011, modificado por el artículo 162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258: ENAJENACIÓN DE PARTICIPACIONES MINORITARIAS DE LAS ENTIDADES ESTATALES. Las entidades estatales de cualquier orden o rama podrán enajenar directamente o a través del colector de activos de la Nación, Central de Inversiones - CISA, únicamente aquellas participaciones accionarias en las cuales la propiedad de las mismas haya sido producto de un acto en el que no haya mediado la voluntad expresa de la entidad pública o que provengan de una dación en pago y, siempre y cuando esta participación no supere el cuarenta y nueve por ciento (49%) de la propiedad accionaria de la sociedad. En todo caso, y previo a enajenar las mismas, la entidad propietaria de la participación accionaria deberá comprobar que la propiedad accionaria que ostenta fue producto de un acto en el que no medió la voluntad expresa de la entidad pública o que provino de una dación en pago. Cuando la entidad opte por enajenar la participación en una sociedad deberá dar aplicación al régimen societario al que se encuentra sometida.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el evento en que las entidades a que se refiere este artículo opten por enajenar directamente su participación en una empresa, la valoración de la participación deberá contar con las siguientes aprobaciones: i) Las entidades que hacen parte del sector central del orden nacional deberán contar con la no objeción del Ministerio de Hacienda y Crédito Público, ii) Las entidades que hacen parte del sector descentralizado del orden nacional deberán contar con la aprobación de la junta directiva de la respectiva entidad, y, iii) las entidades territoriales de cualquier orden deberán contar con la aprobación del representante de la respectiva entidad.</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los casos en que las entidades a que se refiere este artículo decidan adelantar el proceso de enajenación a través de CISA, este se efectuará conforme al modelo de valoración y al procedimiento establecido por CISA, teniendo en cuenta las condiciones de mercado. Es este caso, la entidad estatal y CISA podrán suscribir un convenio / contrato interadministrativo en el cual se pactará entre otros: i) El valor y forma de pago de la remuneración de CISA, que podrá ser descontado del valor de la venta. ii) Los métodos de valoración, que se adelantarán siguiendo al efecto el modelo de valoración y el procedimiento establecido por CISA, para lo cual esta última podrá contratar a un tercero que desarrolle actividades de banca de inversión con el fin de que adelante y/o apoye el proceso de valoración.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a que hace referencia este artículo podrán, a través de CISA, enajenar las acciones que hubieren adquirido con anterioridad a la expedición de esta Ley o aquellas que adquieran posteriormente.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46º. EXTENSIÓN DE LA MEDIDA CAUTELAR.</w:t>
      </w:r>
      <w:r w:rsidRPr="003A174E">
        <w:rPr>
          <w:rFonts w:ascii="Georgia" w:hAnsi="Georgia"/>
          <w:i/>
          <w:sz w:val="24"/>
          <w:szCs w:val="24"/>
          <w:lang w:val="es-CO"/>
        </w:rPr>
        <w:t xml:space="preserve"> Adiciónese el siguiente parágrafo al artículo 100 de la Ley 1708 de 2014,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 xml:space="preserve">La extensión de la medida cautelar a que se refiere este artículo aplica aunque los bienes no hayan sido plenamente individualizados por la Fiscalía </w:t>
      </w:r>
      <w:r w:rsidRPr="003A174E">
        <w:rPr>
          <w:rFonts w:ascii="Georgia" w:hAnsi="Georgia"/>
          <w:i/>
          <w:sz w:val="24"/>
          <w:szCs w:val="24"/>
          <w:lang w:val="es-CO"/>
        </w:rPr>
        <w:lastRenderedPageBreak/>
        <w:t>General de la Nación. Los efectos de este artículo aplicarán a los procesos iniciados antes de la entrada en vigencia de la presente Ley. En consecuencia, el administrador del FRISCO estará habilitado para solicitar a las autoridades con funciones de registro, la inscripción de las medidas cautelares a los bienes donde opere el fenómeno, siempre que la medida cautelar recaiga en el 100% de la participación accionaria.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47º. DEL FONDO ADAPTACIÓN.</w:t>
      </w:r>
      <w:r w:rsidRPr="003A174E">
        <w:rPr>
          <w:rFonts w:ascii="Georgia" w:hAnsi="Georgia"/>
          <w:i/>
          <w:sz w:val="24"/>
          <w:szCs w:val="24"/>
          <w:lang w:val="es-CO"/>
        </w:rPr>
        <w:t xml:space="preserve"> Modifíquese el artículo 155 de la Ley 1753 de 2015,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155. DEL FONDO ADAPTACIÓN. El Fondo Adaptación, creado mediante Decreto-Ley 4819 de 2010, hará parte del Sistema Nacional de Gestión del Riesgo de Desastres en los términos de la Ley 1523 de 2012.</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contratos que celebre el Fondo Adaptación para ejecutar los recursos destinados al programa de reducción de la vulnerabilidad fiscal ante desastres y riesgos climáticos, se regirán por el derecho privado. Lo anterior, con plena observancia de lo dispuesto en el artículo 13 de la Ley 1150 de 2007, sin perjuicio de la facultad de incluir las cláusulas excepcionales a que se refieren los artículos 14 a 18 de la Ley 80 de 1993 y de aplicar lo dispuesto en los artículos 11 y 17 de la Ley 1150 de 2007, a partir del 1 de enero de 2020 los procesos contractuales que adelante el Fondo Adaptación se regirán por lo previsto por la Ley 80 de 1993 y la Ley 1150 de 2007.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el propósito de fortalecer y contribuir a la reducción de la vulnerabilidad fiscal del Estado, el Fondo Adaptación podrá estructurar y ejecutar proyectos integrales de reducción del riesgo y adaptación al cambio climático, en el marco del Sistema Nacional de Gestión del Riesgo de Desastres o del Plan Nacional de Adaptación y de la Política Nacional de Cambio Climático, o su equivalente, en coordinación con los respectivos sectores.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Será responsabilidad de las entidades del orden nacional y territorial beneficiarias de los proyectos a cargo del Fondo Adaptación, garantizar su sostenibilidad y la puesta en marcha de los mecanismos jurídicos, técnicos, financieros y operacionales necesarios para su adecuada implementación.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48º. RÉGIMEN PATRIMONIAL.</w:t>
      </w:r>
      <w:r w:rsidRPr="003A174E">
        <w:rPr>
          <w:rFonts w:ascii="Georgia" w:hAnsi="Georgia"/>
          <w:i/>
          <w:sz w:val="24"/>
          <w:szCs w:val="24"/>
          <w:lang w:val="es-CO"/>
        </w:rPr>
        <w:t xml:space="preserve"> Adiciónese el literal f) al numeral 2 del artículo 319 del Estatuto Orgánico del Sistema Financiero,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Cuando de acuerdo con consideraciones técnicas referidas a la suficiencia de una reserva, la Junta Directiva del Fondo de Garantías de Instituciones Financieras lo considere necesario, podrá adoptar un plan para incrementarla de manera temporal. Para dicha finalidad, con base en estos criterios, podrá incrementar la prima por encima del límite previsto en el artículo 323 de este Estatuto.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ARTÍCULO 49º. GARANTÍAS PARA BONOS HIPOTECARIOS PARA FINANCIAR CARTERA VIS SUBSIDIABLE Y PARA TÍTULOS EMITIDOS EN PROCESOS DE TITULARIZACIÓN DE CARTERA VIS SUBSIDIABLE.</w:t>
      </w:r>
      <w:r w:rsidRPr="003A174E">
        <w:rPr>
          <w:rFonts w:ascii="Georgia" w:hAnsi="Georgia"/>
          <w:i/>
          <w:sz w:val="24"/>
          <w:szCs w:val="24"/>
          <w:lang w:val="es-CO"/>
        </w:rPr>
        <w:t xml:space="preserve"> Modifíquese el inciso primero del artículo 30 de la Ley 546 de 1999,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Garantías para bonos hipotecarios para financiar cartera VIS subsidiable y para títulos emitidos en procesos de titularización de cartera VIS subsidiable. El Gobierno nacional, a través del Fondo Nacional de Garantías - FNG, otorgará garantías para los bonos hipotecarios para financiar cartera VIS subsidiable y para títulos emitidos en procesos de titularización de cartera VIS subsidiable, que emitan los establecimientos de crédito, en los términos y con las condiciones que señale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50º. CÁLCULO DE VALORES EN UVT. </w:t>
      </w:r>
      <w:r w:rsidRPr="003A174E">
        <w:rPr>
          <w:rFonts w:ascii="Georgia" w:hAnsi="Georgia"/>
          <w:i/>
          <w:sz w:val="24"/>
          <w:szCs w:val="24"/>
          <w:lang w:val="es-CO"/>
        </w:rPr>
        <w:t>A partir del 1 de enero de 2020, todos los cobros, sanciones, multas, tasas, tarifas y estampillas, actualmente denominados y establecidos con base en el salario mínimo mensual legal vigente (SMMLV), deberán ser calculados con base en su equivalencia en términos de la Unidad de Valor Tributario – UVT. En adelante, las actualizaciones de estos valores también se harán con base en el valor de la UVT vigente.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Los cobros, sanciones, multas, tasas, tarifas y estampillas, que se encuentren ejecutoriados con anterioridad al 1 de enero de 2020 se mantendrán determinados en SMMLV.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51º. TRANSFERENCIA DE PARTICIPACIONES EN ORGANISMOS INTERNACIONALES.</w:t>
      </w:r>
      <w:r w:rsidRPr="003A174E">
        <w:rPr>
          <w:rFonts w:ascii="Georgia" w:hAnsi="Georgia"/>
          <w:i/>
          <w:sz w:val="24"/>
          <w:szCs w:val="24"/>
          <w:lang w:val="es-CO"/>
        </w:rPr>
        <w:t xml:space="preserve"> Autorícese al Banco de la República para transferir al Gobierno nacional las participaciones (aportes, contribuciones y suscripciones) en organismos internacionales que no constituyan activos de reservas internacionales y los pasivos relacionados con las mismas. Esta operación se efectuará por el valor en libros en la fecha de la operación, con cargo al patrimonio del Banco de la República.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52º. GASTOS DE PERSONAL DE ENTIDADES PÚBLICAS DEL ORDEN NACIONAL.</w:t>
      </w:r>
      <w:r w:rsidRPr="003A174E">
        <w:rPr>
          <w:rFonts w:ascii="Georgia" w:hAnsi="Georgia"/>
          <w:i/>
          <w:sz w:val="24"/>
          <w:szCs w:val="24"/>
          <w:lang w:val="es-CO"/>
        </w:rPr>
        <w:t xml:space="preserve"> Las modificaciones a los gastos de personal de las entidades públicas nacionales no podrán afectar programas y servicios esenciales a cargo de la respectiva entidad. Así mismo, deberán guardar consistencia con el Marco Fiscal de Mediano Plazo, el Marco de Gasto de Mediano Plazo del respectivo sector, y garantizar el cumplimiento de la regla fiscal establecida en la Ley 1473 de 2011. El Ministerio de Hacienda y Crédito Público verificará el cumplimiento de estas condiciones y otorgará la viabilidad presupuestal.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53º. MARCO FISCAL DE MEDIANO PLAZO PARA ENTIDADES TERRITORIALES.</w:t>
      </w:r>
      <w:r w:rsidRPr="003A174E">
        <w:rPr>
          <w:rFonts w:ascii="Georgia" w:hAnsi="Georgia"/>
          <w:i/>
          <w:sz w:val="24"/>
          <w:szCs w:val="24"/>
          <w:lang w:val="es-CO"/>
        </w:rPr>
        <w:t xml:space="preserve"> Adiciónese el literal h) y un parágrafo al artículo 5 de la Ley 819 de 2003,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h) Incorporar en su Marco Fiscal de Mediano Plazo el análisis de la situación financiera de las entidades del sector descentralizado y hacer ejercicios de simulación sobre el impacto que puedan tener los resultados de dichas entidades en las finanzas de la entidad territorial y en los indicadores de las normas de responsabilidad fiscal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Marco Fiscal de Mediano Plazo de las entidades territoriales deberá contener la descripción de las estrategias e instrumentos para garantizar su cumplimiento. Los concejos municipales y asambleas departamentales al aprobar el presupuesto y el plan de inversiones del plan de desarrollo tendrán en cuenta que éstos sean consistentes con el Marco Fiscal de Mediano Plazo de la entidad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54º. PROYECTOS DE GASTO PÚBLICO TERRITORIAL.</w:t>
      </w:r>
      <w:r w:rsidRPr="003A174E">
        <w:rPr>
          <w:rFonts w:ascii="Georgia" w:hAnsi="Georgia"/>
          <w:i/>
          <w:sz w:val="24"/>
          <w:szCs w:val="24"/>
          <w:lang w:val="es-CO"/>
        </w:rPr>
        <w:t xml:space="preserve"> Para garantizar el cumplimiento de las metas de cobertura previstas en el presente Plan, y con el propósito de financiar proyectos de inversión que conlleven cofinanciación nacional, o de asegurar la prestación de servicios públicos domiciliarios se podrán autorizar vigencias futuras ordinarias o excepcionales durante el último año de gobierno de los mandatarios de las entidades territoriales, con sujeción a lo dispuesto en las Leyes 819 de 2003 y 1483 de 2011 o las normas que le sean aplicables.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Tratándose de proyectos de inversión que conlleven cofinanciación con recursos del orden nacional, para la aprobación de las vigencias futuras por parte de asambleas y concejos no se requerirá concepto previo y favorable del Departamento Nacional de Planeación y, la declaración de importancia estratégica deberá hacerse para el caso de las vigencias futuras ordinarias, con fundamento en estudios técnicos de ingeniería a nivel de prefactibilidad, y para vigencias futuras excepcionales, con fundamento en estudios técnicos a nivel de factibilidad.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Las Empresas Industriales y Comerciales del Estado, las Empresas de Servicios Públicos Domiciliarios mixtas y oficiales, que tengan régimen presupuestal de empresas industrial y comercial del Estado, podrán en cualquier tiempo autorizar la asunción de compromisos de vigencias futuras que superen el respectivo periodo de gobierno, con cargo al presupuesto de gastos y que estén relacionados con la adquisición de bienes y servicios necesarios para los procesos de producción, trasformación y comercialización requeridos para el cumplimiento de su objeto social, incluida la compra de energía y la compra y transporte de gas y los gastos de operación comercial e inversión, previa autorización del CONFIS o de las Juntas Directivas, cunado dicha función les sea delegada por tal organismo.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El CONFIS o las Juntas Directivas, en aplicación del presente artículo, podrán otorgar estas autorizaciones siempre y cuando se cumplan los siguientes requisitos: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Prrafodelista"/>
        <w:numPr>
          <w:ilvl w:val="0"/>
          <w:numId w:val="9"/>
        </w:numPr>
        <w:spacing w:afterLines="20" w:after="48" w:line="240" w:lineRule="auto"/>
        <w:jc w:val="both"/>
        <w:rPr>
          <w:rFonts w:ascii="Georgia" w:hAnsi="Georgia" w:cs="Arial"/>
          <w:i/>
          <w:sz w:val="24"/>
          <w:szCs w:val="24"/>
          <w:lang w:val="es-CO"/>
        </w:rPr>
      </w:pPr>
      <w:r w:rsidRPr="003A174E">
        <w:rPr>
          <w:rFonts w:ascii="Georgia" w:hAnsi="Georgia" w:cs="Arial"/>
          <w:i/>
          <w:sz w:val="24"/>
          <w:szCs w:val="24"/>
          <w:lang w:val="es-CO"/>
        </w:rPr>
        <w:t>Desarrollen su objeto social en competencia con otros agentes o se desempeñen en mercados regulados;</w:t>
      </w:r>
    </w:p>
    <w:p w:rsidR="00EC45FF" w:rsidRPr="003A174E" w:rsidRDefault="00EC45FF" w:rsidP="00EC45FF">
      <w:pPr>
        <w:pStyle w:val="Prrafodelista"/>
        <w:numPr>
          <w:ilvl w:val="0"/>
          <w:numId w:val="9"/>
        </w:numPr>
        <w:spacing w:afterLines="20" w:after="48" w:line="240" w:lineRule="auto"/>
        <w:jc w:val="both"/>
        <w:rPr>
          <w:rFonts w:ascii="Georgia" w:hAnsi="Georgia" w:cs="Arial"/>
          <w:i/>
          <w:sz w:val="24"/>
          <w:szCs w:val="24"/>
          <w:lang w:val="es-CO"/>
        </w:rPr>
      </w:pPr>
      <w:r w:rsidRPr="003A174E">
        <w:rPr>
          <w:rFonts w:ascii="Georgia" w:hAnsi="Georgia" w:cs="Arial"/>
          <w:i/>
          <w:sz w:val="24"/>
          <w:szCs w:val="24"/>
          <w:lang w:val="es-CO"/>
        </w:rPr>
        <w:t>Cuenten con prácticas de buen gobierno corporativo que garanticen, entre otros, la protección de sus accionistas minoritarios e inversionistas, la transparencia y revelación de información, el cumplimiento de los deberes y responsabilidades de los órganos sociales y administradores en materia presupuestal y financiera y una política de dividendos o trasferencias y constitución de reservas, derivadas de códigos de buen gobierno corporativo adoptados en cumplimiento de estipulaciones estatutarias o legales que definirán su contenido mínimo.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55º. PAGO DE SENTENCIAS O CONCILIACIONES JUDICIALES EN MORA.</w:t>
      </w:r>
      <w:r w:rsidRPr="003A174E">
        <w:rPr>
          <w:rFonts w:ascii="Georgia" w:hAnsi="Georgia"/>
          <w:i/>
          <w:sz w:val="24"/>
          <w:szCs w:val="24"/>
          <w:lang w:val="es-CO"/>
        </w:rPr>
        <w:t xml:space="preserve"> Durante la vigencia de la presente Ley, la Nación podrá reconocer como deuda pública las obligaciones de pago originadas en sentencias o conciliaciones judiciales debidamente ejecutoriadas y los intereses derivados de las mismas, que se encuentren en mora en su pago a la fecha de expedición de la presente Ley. Este reconocimiento operará exclusivamente para las entidades que hagan parte del Presupuesto General de la Nación y por una sola vez. En estos casos, dichas obligaciones de pago serán reconocidas y pagadas bien sea con cargo al servicio de deuda del Presupuesto General de la Nación o mediante la emisión de Títulos de Tesorería TES Clase B.</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cumplimiento de lo señalado en este artículo y con el objetivo de suministrar la respectiva liquidez, la Dirección General de Crédito Público y Tesoro Nacional del Ministerio de Hacienda y Crédito Público administrará, en una cuenta independiente el cupo de emisión de TES que se destine a la atención de las obligaciones de pago originadas en sentencias o conciliaciones judiciales ejecutoriadas, y los intereses derivados de las mismas. Para estos efectos, la Dirección General de Crédito Público y Tesoro Nacional estará facultada para realizar las operaciones necesarias en el mercado monetario y de deuda pública.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las entidades de las que trata el inciso primero de este artículo deberán tener en cuenta: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b/>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La veracidad, oportunidad, verificación de los requisitos para el pago de las obligaciones, así como la responsabilidad de adelantar las gestiones pertinentes radica exclusivamente en cada una de las entidades, sin que implique responsabilidad alguna para las demás entidades que participan en el proceso de pago de las sentencias o conciliaciones, de conformidad con lo que para el efecto defina el Gobierno nacional. El incumplimiento de lo dispuesto en este numeral acarreará las sanciones penales, disciplinarias y fiscales a que haya lugar.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El cumplimiento de lo dispuesto en el artículo 262 de la Ley 1819 de 2016.</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Podrán celebrar acuerdos de pago o conciliaciones extrajudiciales con los beneficiarios finales, respecto de los montos adeudados.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 La responsabilidad por el pago de las obligaciones es exclusivamente de la entidad, la cual garantizará el respeto del turno de pago. El Gobierno nacional reglamentará la materia.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 emisión de Títulos de Tesorería TES Clase B de que trata el presente artículo no implica operación presupuestal y sólo debe presupuestarse para efectos del pago de intereses y la redención de los títulos.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Las entidades del Presupuesto General de la Nación de las que trata el presente artículo deberán acordar con el Ministerio de Hacienda y Crédito Público los mecanismos para asumir el principal e intereses de los títulos con cargo a sus presupuestos de gasto y procederán con los registros contables que sean del caso para extinguir dichas obligaciones.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TERCERO. </w:t>
      </w:r>
      <w:r w:rsidRPr="003A174E">
        <w:rPr>
          <w:rFonts w:ascii="Georgia" w:hAnsi="Georgia"/>
          <w:i/>
          <w:sz w:val="24"/>
          <w:szCs w:val="24"/>
          <w:lang w:val="es-CO"/>
        </w:rPr>
        <w:t>Lo dispuesto en el presente artículo no aplicará para el reconocimiento y pago de sentencias y conciliaciones que hayan sido objeto de cesión de créditos judiciales celebrada con posterioridad al 1 de enero de 2019.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56°. AUTORIZACIÓN PARA EL USO DE RECURSOS DE MAYOR RECAUDO. </w:t>
      </w:r>
      <w:r w:rsidRPr="003A174E">
        <w:rPr>
          <w:rFonts w:ascii="Georgia" w:hAnsi="Georgia"/>
          <w:i/>
          <w:sz w:val="24"/>
          <w:szCs w:val="24"/>
          <w:lang w:val="es-CO"/>
        </w:rPr>
        <w:t>Los recursos incorporados en el presupuesto bienal del Sistema General de Regalías a través del artículo 7 de la Ley 1942 de 2018, no estarán limitados por lo dispuesto en el artículo 40 de la misma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57°. </w:t>
      </w:r>
      <w:r w:rsidRPr="003A174E">
        <w:rPr>
          <w:rFonts w:ascii="Georgia" w:hAnsi="Georgia"/>
          <w:b/>
          <w:bCs/>
          <w:i/>
          <w:sz w:val="24"/>
          <w:szCs w:val="24"/>
          <w:lang w:val="es-CO"/>
        </w:rPr>
        <w:t xml:space="preserve">FONDO DIAN PARA COLOMBIA. </w:t>
      </w:r>
      <w:r w:rsidRPr="003A174E">
        <w:rPr>
          <w:rFonts w:ascii="Georgia" w:hAnsi="Georgia"/>
          <w:i/>
          <w:sz w:val="24"/>
          <w:szCs w:val="24"/>
          <w:lang w:val="es-CO"/>
        </w:rPr>
        <w:t>Créase un patrimonio autónomo denominado Fondo DIAN para Colombia, administrado por el Ministerio de Hacienda y Crédito Público o por la entidad o entidades que ésta decida. Este Fondo tendrá por objeto la financiación y/o la inversión  del programa de modernización de la Dirección de Impuestos y Aduanas Nacionales - DIAN. En desarrollo de su propósito el mencionado patrimonio autónomo podrá:</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Recibir total o parcialmente aportes del Gobierno nacional para financiar o cofinanciar los proyectos de desarrollo acordes con la finalidad del patrimonio autónomo.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Aceptar donaciones del sector público o privado, nacional e internacional, con el propósito de realizar las actividades del patrimonio.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Suscribir convenios o contratos con entidades públicas para desarrollar su propósito.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4. Celebrar operaciones de financiamiento interno o externo, a nombre de patrimonio autónomo para lo cual la Nación o las Entidades Territoriales podrán otorgar los avales o garantías correspondientes. Para el otorgamiento de la garantía de la Nación no será necesario la constitución de las contragarantías a favor de la Nación ni de la realización de aportes al Fondo de Contingencias.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Cumplido el propósito del Fondo DIAN para Colombia, </w:t>
      </w:r>
      <w:r>
        <w:rPr>
          <w:rFonts w:ascii="Georgia" w:hAnsi="Georgia"/>
          <w:i/>
          <w:sz w:val="24"/>
          <w:szCs w:val="24"/>
          <w:lang w:val="es-CO"/>
        </w:rPr>
        <w:t>e</w:t>
      </w:r>
      <w:r w:rsidRPr="003A174E">
        <w:rPr>
          <w:rFonts w:ascii="Georgia" w:hAnsi="Georgia"/>
          <w:i/>
          <w:sz w:val="24"/>
          <w:szCs w:val="24"/>
          <w:lang w:val="es-CO"/>
        </w:rPr>
        <w:t>ste podrá ser liquidado.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i/>
          <w:sz w:val="24"/>
          <w:szCs w:val="24"/>
          <w:lang w:val="es-CO"/>
        </w:rPr>
      </w:pPr>
      <w:r w:rsidRPr="003A174E">
        <w:rPr>
          <w:rFonts w:ascii="Georgia" w:hAnsi="Georgia"/>
          <w:i/>
          <w:sz w:val="24"/>
          <w:szCs w:val="24"/>
          <w:lang w:val="es-CO"/>
        </w:rPr>
        <w:t>El Gobierno nacional reglamentará la materia.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b/>
          <w:i/>
          <w:sz w:val="24"/>
          <w:szCs w:val="24"/>
          <w:lang w:val="es-CO"/>
        </w:rPr>
      </w:pPr>
      <w:r w:rsidRPr="003A174E">
        <w:rPr>
          <w:rFonts w:ascii="Georgia" w:hAnsi="Georgia"/>
          <w:b/>
          <w:i/>
          <w:sz w:val="24"/>
          <w:szCs w:val="24"/>
          <w:lang w:val="es-CO"/>
        </w:rPr>
        <w:t xml:space="preserve">ARTÍCULO 58°. FONDO NACIONAL PARA EL DESARROLLO DE LA INFRAESTRUCTURA - FONDES. </w:t>
      </w:r>
      <w:r w:rsidRPr="003A174E">
        <w:rPr>
          <w:rFonts w:ascii="Georgia" w:hAnsi="Georgia"/>
          <w:bCs/>
          <w:i/>
          <w:sz w:val="24"/>
          <w:szCs w:val="24"/>
          <w:lang w:val="es-CO"/>
        </w:rPr>
        <w:t>Modifíquese el artículo 144 de la Ley 1753 de 2015 que quedará así:</w:t>
      </w:r>
    </w:p>
    <w:p w:rsidR="00EC45FF" w:rsidRPr="003A174E" w:rsidRDefault="00EC45FF" w:rsidP="00EC45FF">
      <w:pPr>
        <w:spacing w:after="0" w:line="240" w:lineRule="auto"/>
        <w:jc w:val="both"/>
        <w:rPr>
          <w:rFonts w:ascii="Georgia" w:hAnsi="Georgia"/>
          <w:b/>
          <w:bCs/>
          <w:i/>
          <w:sz w:val="24"/>
          <w:szCs w:val="24"/>
          <w:lang w:val="es-CO"/>
        </w:rPr>
      </w:pPr>
    </w:p>
    <w:p w:rsidR="00EC45FF" w:rsidRPr="003A174E" w:rsidRDefault="00EC45FF" w:rsidP="00EC45FF">
      <w:pPr>
        <w:spacing w:after="0" w:line="240" w:lineRule="auto"/>
        <w:jc w:val="both"/>
        <w:rPr>
          <w:rFonts w:ascii="Georgia" w:hAnsi="Georgia"/>
          <w:bCs/>
          <w:i/>
          <w:sz w:val="24"/>
          <w:szCs w:val="24"/>
          <w:lang w:val="es-CO"/>
        </w:rPr>
      </w:pPr>
      <w:r w:rsidRPr="003A174E">
        <w:rPr>
          <w:rFonts w:ascii="Georgia" w:hAnsi="Georgia"/>
          <w:bCs/>
          <w:i/>
          <w:sz w:val="24"/>
          <w:szCs w:val="24"/>
          <w:lang w:val="es-CO"/>
        </w:rPr>
        <w:t xml:space="preserve">ARTÍCULO 144. </w:t>
      </w:r>
      <w:r w:rsidRPr="003A174E">
        <w:rPr>
          <w:rFonts w:ascii="Georgia" w:hAnsi="Georgia"/>
          <w:i/>
          <w:sz w:val="24"/>
          <w:szCs w:val="24"/>
          <w:lang w:val="es-CO"/>
        </w:rPr>
        <w:t>FONDO NACIONAL PARA EL DESARROLLO DE LA INFRAESTRUCTURA.</w:t>
      </w:r>
      <w:r w:rsidRPr="003A174E">
        <w:rPr>
          <w:rFonts w:ascii="Georgia" w:hAnsi="Georgia"/>
          <w:b/>
          <w:i/>
          <w:sz w:val="24"/>
          <w:szCs w:val="24"/>
          <w:lang w:val="es-CO"/>
        </w:rPr>
        <w:t xml:space="preserve"> </w:t>
      </w:r>
      <w:r w:rsidRPr="003A174E">
        <w:rPr>
          <w:rFonts w:ascii="Georgia" w:hAnsi="Georgia"/>
          <w:bCs/>
          <w:i/>
          <w:sz w:val="24"/>
          <w:szCs w:val="24"/>
          <w:lang w:val="es-CO"/>
        </w:rPr>
        <w:t>FONDES. El Fondo Nacional para el Desarrollo de la Infraestructura - FONDES, será administrado por la Financiera de Desarrollo Nacional y/o la entidad que defina el Gobierno nacional, de conformidad con la reglamentación expedida para el efecto y en los términos del contrato que se suscriba.</w:t>
      </w:r>
    </w:p>
    <w:p w:rsidR="00EC45FF" w:rsidRPr="003A174E" w:rsidRDefault="00EC45FF" w:rsidP="00EC45FF">
      <w:pPr>
        <w:spacing w:after="0" w:line="240" w:lineRule="auto"/>
        <w:jc w:val="both"/>
        <w:rPr>
          <w:rFonts w:ascii="Georgia" w:hAnsi="Georgia"/>
          <w:bCs/>
          <w:i/>
          <w:sz w:val="24"/>
          <w:szCs w:val="24"/>
          <w:lang w:val="es-CO"/>
        </w:rPr>
      </w:pPr>
    </w:p>
    <w:p w:rsidR="00EC45FF" w:rsidRPr="003A174E" w:rsidRDefault="00EC45FF" w:rsidP="00EC45FF">
      <w:pPr>
        <w:spacing w:after="0" w:line="240" w:lineRule="auto"/>
        <w:jc w:val="both"/>
        <w:rPr>
          <w:rFonts w:ascii="Georgia" w:hAnsi="Georgia"/>
          <w:bCs/>
          <w:i/>
          <w:sz w:val="24"/>
          <w:szCs w:val="24"/>
          <w:lang w:val="es-CO"/>
        </w:rPr>
      </w:pPr>
      <w:r w:rsidRPr="003A174E">
        <w:rPr>
          <w:rFonts w:ascii="Georgia" w:hAnsi="Georgia"/>
          <w:bCs/>
          <w:i/>
          <w:sz w:val="24"/>
          <w:szCs w:val="24"/>
          <w:lang w:val="es-CO"/>
        </w:rPr>
        <w:t>El objeto del FONDES será la inversión y financiamiento de proyectos de infraestructura, así como la inversión en el capital social de empresas de servicios públicos mixtas u oficiales y su patrimonio estará constituido, entre otras, por las siguientes fuentes:</w:t>
      </w:r>
    </w:p>
    <w:p w:rsidR="00EC45FF" w:rsidRPr="003A174E" w:rsidRDefault="00EC45FF" w:rsidP="00EC45FF">
      <w:pPr>
        <w:spacing w:after="0" w:line="240" w:lineRule="auto"/>
        <w:jc w:val="both"/>
        <w:rPr>
          <w:rFonts w:ascii="Georgia" w:hAnsi="Georgia"/>
          <w:bCs/>
          <w:i/>
          <w:sz w:val="24"/>
          <w:szCs w:val="24"/>
          <w:lang w:val="es-CO"/>
        </w:rPr>
      </w:pPr>
    </w:p>
    <w:p w:rsidR="00EC45FF" w:rsidRPr="003A174E" w:rsidRDefault="00EC45FF" w:rsidP="00EC45FF">
      <w:pPr>
        <w:spacing w:after="0" w:line="240" w:lineRule="auto"/>
        <w:jc w:val="both"/>
        <w:rPr>
          <w:rFonts w:ascii="Georgia" w:hAnsi="Georgia"/>
          <w:bCs/>
          <w:i/>
          <w:sz w:val="24"/>
          <w:szCs w:val="24"/>
          <w:lang w:val="es-CO"/>
        </w:rPr>
      </w:pPr>
      <w:r w:rsidRPr="003A174E">
        <w:rPr>
          <w:rFonts w:ascii="Georgia" w:hAnsi="Georgia"/>
          <w:bCs/>
          <w:i/>
          <w:sz w:val="24"/>
          <w:szCs w:val="24"/>
          <w:lang w:val="es-CO"/>
        </w:rPr>
        <w:t xml:space="preserve">a) Cuando el Gobierno nacional lo defina, los recursos producto de la enajenación de la participación accionaria de la Nación, recibidos en virtud de un proceso regulado por la </w:t>
      </w:r>
      <w:r w:rsidRPr="003A174E">
        <w:rPr>
          <w:rFonts w:ascii="Georgia" w:hAnsi="Georgia"/>
          <w:bCs/>
          <w:i/>
          <w:color w:val="000000" w:themeColor="text1"/>
          <w:sz w:val="24"/>
          <w:szCs w:val="24"/>
          <w:lang w:val="es-CO"/>
        </w:rPr>
        <w:t xml:space="preserve">Ley </w:t>
      </w:r>
      <w:hyperlink r:id="rId5" w:history="1">
        <w:r w:rsidRPr="003A174E">
          <w:rPr>
            <w:rStyle w:val="Hipervnculo"/>
            <w:rFonts w:ascii="Georgia" w:hAnsi="Georgia"/>
            <w:bCs/>
            <w:i/>
            <w:color w:val="000000" w:themeColor="text1"/>
            <w:sz w:val="24"/>
            <w:szCs w:val="24"/>
            <w:lang w:val="es-CO"/>
          </w:rPr>
          <w:t>226</w:t>
        </w:r>
      </w:hyperlink>
      <w:r w:rsidRPr="003A174E">
        <w:rPr>
          <w:rFonts w:ascii="Georgia" w:hAnsi="Georgia"/>
          <w:bCs/>
          <w:i/>
          <w:color w:val="000000" w:themeColor="text1"/>
          <w:sz w:val="24"/>
          <w:szCs w:val="24"/>
          <w:lang w:val="es-CO"/>
        </w:rPr>
        <w:t xml:space="preserve"> de </w:t>
      </w:r>
      <w:r w:rsidRPr="003A174E">
        <w:rPr>
          <w:rFonts w:ascii="Georgia" w:hAnsi="Georgia"/>
          <w:bCs/>
          <w:i/>
          <w:sz w:val="24"/>
          <w:szCs w:val="24"/>
          <w:lang w:val="es-CO"/>
        </w:rPr>
        <w:t>1995;</w:t>
      </w:r>
    </w:p>
    <w:p w:rsidR="00EC45FF" w:rsidRPr="003A174E" w:rsidRDefault="00EC45FF" w:rsidP="00EC45FF">
      <w:pPr>
        <w:spacing w:after="0" w:line="240" w:lineRule="auto"/>
        <w:jc w:val="both"/>
        <w:rPr>
          <w:rFonts w:ascii="Georgia" w:hAnsi="Georgia"/>
          <w:bCs/>
          <w:i/>
          <w:sz w:val="24"/>
          <w:szCs w:val="24"/>
          <w:lang w:val="es-CO"/>
        </w:rPr>
      </w:pPr>
      <w:r w:rsidRPr="003A174E">
        <w:rPr>
          <w:rFonts w:ascii="Georgia" w:hAnsi="Georgia"/>
          <w:bCs/>
          <w:i/>
          <w:sz w:val="24"/>
          <w:szCs w:val="24"/>
          <w:lang w:val="es-CO"/>
        </w:rPr>
        <w:t>b) Los rendimientos que genere el Fondo;</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c) Los recursos que obtenga el fondo a través de sus propias operaciones de crédito público y de tesorería;</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d) Los demás recursos que se dispongan para el efecto.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El Gobierno nacional reglamentará la administración y funcionamiento del FONDES, así como los demás asuntos necesarios para su financiamiento y el cabal cumplimiento de su objeto, sin perjuicio del cumplimiento de lo dispuesto por el </w:t>
      </w:r>
      <w:r w:rsidRPr="003A174E">
        <w:rPr>
          <w:rFonts w:ascii="Georgia" w:hAnsi="Georgia"/>
          <w:bCs/>
          <w:i/>
          <w:color w:val="000000" w:themeColor="text1"/>
          <w:sz w:val="24"/>
          <w:szCs w:val="24"/>
          <w:lang w:val="es-CO"/>
        </w:rPr>
        <w:t xml:space="preserve">artículo </w:t>
      </w:r>
      <w:hyperlink r:id="rId6" w:history="1">
        <w:r w:rsidRPr="003A174E">
          <w:rPr>
            <w:rStyle w:val="Hipervnculo"/>
            <w:rFonts w:ascii="Georgia" w:hAnsi="Georgia"/>
            <w:bCs/>
            <w:i/>
            <w:color w:val="000000" w:themeColor="text1"/>
            <w:sz w:val="24"/>
            <w:szCs w:val="24"/>
            <w:lang w:val="es-CO"/>
          </w:rPr>
          <w:t>124</w:t>
        </w:r>
      </w:hyperlink>
      <w:r w:rsidRPr="003A174E">
        <w:rPr>
          <w:rFonts w:ascii="Georgia" w:hAnsi="Georgia"/>
          <w:bCs/>
          <w:i/>
          <w:color w:val="000000" w:themeColor="text1"/>
          <w:sz w:val="24"/>
          <w:szCs w:val="24"/>
          <w:lang w:val="es-CO"/>
        </w:rPr>
        <w:t xml:space="preserve"> del </w:t>
      </w:r>
      <w:r w:rsidRPr="003A174E">
        <w:rPr>
          <w:rFonts w:ascii="Georgia" w:hAnsi="Georgia"/>
          <w:bCs/>
          <w:i/>
          <w:sz w:val="24"/>
          <w:szCs w:val="24"/>
          <w:lang w:val="es-CO"/>
        </w:rPr>
        <w:t>Estatuto Orgánico del Presupuesto.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PARÁGRAFO.</w:t>
      </w:r>
      <w:r w:rsidRPr="003A174E">
        <w:rPr>
          <w:rFonts w:ascii="Georgia" w:hAnsi="Georgia"/>
          <w:bCs/>
          <w:i/>
          <w:sz w:val="24"/>
          <w:szCs w:val="24"/>
          <w:lang w:val="es-CO"/>
        </w:rPr>
        <w:t xml:space="preserve"> Los recursos resultantes de la enajenación de la participación accionaria de la Nación señalados en este artículo, mientras se incorporan al Presupuesto General de la Nación, se mantendrán en una cuenta especial e independiente administrada por el Tesoro Nacional. El Gobierno nacional reglamentará el procedimiento por el que se decidirán los términos y plazos en que los recursos de esta cuenta especial serán incorporados en el Presupuesto General </w:t>
      </w:r>
      <w:r w:rsidRPr="003A174E">
        <w:rPr>
          <w:rFonts w:ascii="Georgia" w:hAnsi="Georgia"/>
          <w:bCs/>
          <w:i/>
          <w:sz w:val="24"/>
          <w:szCs w:val="24"/>
          <w:lang w:val="es-CO"/>
        </w:rPr>
        <w:lastRenderedPageBreak/>
        <w:t xml:space="preserve">de la Nación, así como la transferencia de los mimos del Tesoro Nacional a los administradores.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ARTÍCULO 59°. EFICIENCIA EN LA ADMINISTRACION DE LOS RECURSOS DEL FONDO NACIONAL DE PRESTACIONES SOCIALES DEL MAGISTERIO. </w:t>
      </w:r>
      <w:r w:rsidRPr="003A174E">
        <w:rPr>
          <w:rFonts w:ascii="Georgia" w:hAnsi="Georgia"/>
          <w:i/>
          <w:sz w:val="24"/>
          <w:szCs w:val="24"/>
          <w:lang w:val="es-CO"/>
        </w:rPr>
        <w:t xml:space="preserve">Las cesantías definitivas y parciales de los docentes de que trata la Ley 91 de 1989 serán reconocidas y liquidadas por la Secretaria de Educación de la entidad territorial y pagadas por el Fondo Nacional de Prestaciones Sociales del Magisterio.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pensiones que pagará el Fondo Nacional de Prestaciones Sociales del Magisterio serán reconocidas por el citado Fondo, mediante la aprobación del proyecto de resolución por parte de quien administre el Fondo, el cual debe ser elaborado por el Secretario de Educación de la Entidad Territorial certificada correspondiente, a la que se encuentre vinculado el docente. El acto administrativo de reconocimiento de la pensión se hará mediante resolución que llevará la firma del Secretario de Educación de la entidad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pago de las prestaciones económicas y los servicios de salud, el Fondo deberá aplicar el principio de unidad de caja con el fin de lograr mayor eficiencia en la administración y pago de las obligaciones definidas por la ley, con excepción de los recursos provenientes del Fondo Nacional de Pensiones de las Entidades Territoriales – FONPET. En todo caso, el Fondo debe priorizar el pago de los servicios de salud y de las mesadas pensionales de los maestros.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del Fondo Nacional de Prestaciones Sociales del Magisterio sólo podrán destinarse para garantizar el pago de las prestaciones económicas, sociales y asistenciales a sus afiliados docentes, pensionados y beneficiarios. No podrá decretarse el pago de indemnizaciones económicas por vía judicial o administrativa con cargo a los recursos del Fondo Nacional de Prestaciones Sociales del Magisterio.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w:t>
      </w:r>
      <w:r w:rsidRPr="003A174E">
        <w:rPr>
          <w:rFonts w:ascii="Georgia" w:hAnsi="Georgia"/>
          <w:i/>
          <w:sz w:val="24"/>
          <w:szCs w:val="24"/>
          <w:lang w:val="es-CO"/>
        </w:rPr>
        <w:t xml:space="preserve"> La entidad territorial será responsable del pago de la sanción por mora en el pago de las cesantías en aquellos eventos en los que el pago extemporáneo se genere como consecuencia del incumplimiento de los plazos previstos para la radicación o entrega de la solicitud de pago de cesantías por parte de la Secretaria de Educación territorial al Fondo Nacional de Prestaciones Sociales del Magisterio. En estos eventos el Fondo Nacional de Prestaciones Sociales del Magisterio será responsable únicamente del pago de las cesantías.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TRANSITORIO.</w:t>
      </w:r>
      <w:r w:rsidRPr="003A174E">
        <w:rPr>
          <w:rFonts w:ascii="Georgia" w:hAnsi="Georgia"/>
          <w:i/>
          <w:sz w:val="24"/>
          <w:szCs w:val="24"/>
          <w:lang w:val="es-CO"/>
        </w:rPr>
        <w:t xml:space="preserve"> Para efectos de financiar el pago de las sanciones por mora a cargo Fondo Nacional de Prestaciones Sociales del Magisterio causadas a diciembre de 2019, facúltese al Ministerio de Hacienda y Crédito Público para emitir Títulos de Tesorería que serán administrados por una o varias sociedades fiduciarias públicas; así mismo, el Ministerio de Hacienda y </w:t>
      </w:r>
      <w:r w:rsidRPr="003A174E">
        <w:rPr>
          <w:rFonts w:ascii="Georgia" w:hAnsi="Georgia"/>
          <w:i/>
          <w:sz w:val="24"/>
          <w:szCs w:val="24"/>
          <w:lang w:val="es-CO"/>
        </w:rPr>
        <w:lastRenderedPageBreak/>
        <w:t xml:space="preserve">Crédito Público definirá la operación, las reglas de negociación y pago de los mismos.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emisión de bonos o títulos no implica operación presupuestal alguna y solo debe presupuestarse para efectos de su redención.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ARTÍCULO 60°. PROHIBICIÓN DE TRANSFERENCIAS Y LIQUIDACIÓN DE EMPRESAS INEFICIENTES.</w:t>
      </w:r>
      <w:r w:rsidRPr="003A174E">
        <w:rPr>
          <w:rFonts w:ascii="Georgia" w:hAnsi="Georgia"/>
          <w:i/>
          <w:sz w:val="24"/>
          <w:szCs w:val="24"/>
          <w:lang w:val="es-CO"/>
        </w:rPr>
        <w:t xml:space="preserve"> Adiciónese el siguiente parágrafo al artículo 14 de la Ley 617 de 2000:</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Las entidades territoriales podrán incluir dentro de sus planes de inversión, partidas destinadas a fortalecer la reserva técnica de las empresas operadoras de juegos de lotería tradicional o de billetes. También podrán hacerlo para el desarrollo e implementación de un plan de desempeño y/o estrategia comercial; el cual deberá contar con la aprobación previa del Consejo Nacional de Juegos de Suerte y Azar, en el que se determinará la viabilidad de la empresa y la rentabilidad de la inversión.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ARTÍCULO 61°.CONDICIONES DE OPERACIÓN EN LÍNEA Y EN TIEMPO REAL DE LOS JUEGOS LOCALIZADOS. </w:t>
      </w:r>
      <w:r w:rsidRPr="003A174E">
        <w:rPr>
          <w:rFonts w:ascii="Georgia" w:hAnsi="Georgia"/>
          <w:i/>
          <w:sz w:val="24"/>
          <w:szCs w:val="24"/>
          <w:lang w:val="es-CO"/>
        </w:rPr>
        <w:t>Modifíquese el</w:t>
      </w:r>
      <w:r w:rsidRPr="003A174E">
        <w:rPr>
          <w:rFonts w:ascii="Georgia" w:hAnsi="Georgia"/>
          <w:b/>
          <w:bCs/>
          <w:i/>
          <w:sz w:val="24"/>
          <w:szCs w:val="24"/>
          <w:lang w:val="es-CO"/>
        </w:rPr>
        <w:t xml:space="preserve"> </w:t>
      </w:r>
      <w:r w:rsidRPr="003A174E">
        <w:rPr>
          <w:rFonts w:ascii="Georgia" w:hAnsi="Georgia"/>
          <w:i/>
          <w:sz w:val="24"/>
          <w:szCs w:val="24"/>
          <w:lang w:val="es-CO"/>
        </w:rPr>
        <w:t>artículo 14 de la Ley 1393 de 2010,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Cs/>
          <w:i/>
          <w:sz w:val="24"/>
          <w:szCs w:val="24"/>
          <w:lang w:val="es-CO"/>
        </w:rPr>
        <w:t>ARTÍCULO 14</w:t>
      </w:r>
      <w:r w:rsidRPr="003A174E">
        <w:rPr>
          <w:rFonts w:ascii="Georgia" w:hAnsi="Georgia"/>
          <w:b/>
          <w:bCs/>
          <w:i/>
          <w:sz w:val="24"/>
          <w:szCs w:val="24"/>
          <w:lang w:val="es-CO"/>
        </w:rPr>
        <w:t xml:space="preserve">. </w:t>
      </w:r>
      <w:r w:rsidRPr="003A174E">
        <w:rPr>
          <w:rFonts w:ascii="Georgia" w:hAnsi="Georgia"/>
          <w:bCs/>
          <w:i/>
          <w:sz w:val="24"/>
          <w:szCs w:val="24"/>
          <w:lang w:val="es-CO"/>
        </w:rPr>
        <w:t>CONDICIONES DE OPERACIÓN EN LÍNEA Y EN TIEMPO REAL DE LOS JUEGOS LOCALIZADOS</w:t>
      </w:r>
      <w:r w:rsidRPr="003A174E">
        <w:rPr>
          <w:rFonts w:ascii="Georgia" w:hAnsi="Georgia"/>
          <w:b/>
          <w:bCs/>
          <w:i/>
          <w:sz w:val="24"/>
          <w:szCs w:val="24"/>
          <w:lang w:val="es-CO"/>
        </w:rPr>
        <w:t xml:space="preserve"> </w:t>
      </w:r>
      <w:r w:rsidRPr="003A174E">
        <w:rPr>
          <w:rFonts w:ascii="Georgia" w:hAnsi="Georgia"/>
          <w:i/>
          <w:sz w:val="24"/>
          <w:szCs w:val="24"/>
          <w:lang w:val="es-CO"/>
        </w:rPr>
        <w:t>Los operadores de Juegos de Suerte y Azar Localizados que cumplan con las condiciones de conectividad y confiabilidad establecidos por la entidad administradora del monopolio pagarán a título de derecho de explotación el doce por ciento (12%) sobre los ingresos brutos menos el monto de los premios pagados calculados sobre la totalidad de los elementos de juego autorizados en el contrato de concesión.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Una vez dispuesta la obligación de conectividad, se presumirá ilegal la máquina que no lo esté y además de las sanciones por ilegalidad correspondiente, será objeto del respectivo decomiso.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Entiéndase por ingresos brutos la totalidad del valor registrado en el contador de entrada de las maquinas del contrato de concesión.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caso de Bingos, los ingresos brutos son el total del valor de los cartones vendidos en el periodo de liquidación.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En ningún caso el impuesto del IVA formará parte de la base para el cálculo de los derechos de explotación previstos en el siguiente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lastRenderedPageBreak/>
        <w:t xml:space="preserve">ARTÍCULO 62°. </w:t>
      </w:r>
      <w:r w:rsidRPr="003A174E">
        <w:rPr>
          <w:rFonts w:ascii="Georgia" w:hAnsi="Georgia"/>
          <w:b/>
          <w:i/>
          <w:sz w:val="24"/>
          <w:szCs w:val="24"/>
          <w:lang w:val="es-CO"/>
        </w:rPr>
        <w:t xml:space="preserve">PLAN DE PREMIOS Y RENTABILIDAD MÍNIMA ANUAL. </w:t>
      </w:r>
      <w:r w:rsidRPr="003A174E">
        <w:rPr>
          <w:rFonts w:ascii="Georgia" w:hAnsi="Georgia"/>
          <w:i/>
          <w:sz w:val="24"/>
          <w:szCs w:val="24"/>
          <w:lang w:val="es-CO"/>
        </w:rPr>
        <w:t>Modifíquese el artículo 24 de la Ley 643 de 2001,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24. PLAN DE PREMIOS Y RENTABILIDAD MÍNIMA ANUAL. El Gobierno nacional fijará la estructura del plan de premios del juego de apuestas permanentes o chance que regirá en todo el país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rentabilidad mínima anual del juego de chance para cada concesionario, será el valor pagado por concepto de derechos de explotación en el año inmediatamente anterior, para lo cual, la única referencia son los ingresos brutos del juego.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los pliegos de condiciones, la legalización y la tasación de las garantías anuales de los contratos de concesión, el valor contractual será el 12% de los ingresos brutos del juego de chance de los últimos 5 años. La garantía de cumplimiento se constituirá por los concesionarios, por períodos sucesivos de un (1) año durante la vigencia de los contratos de concesión, con base en el valor del contrato por cada año, con la obligación de obtener la correspondiente prórroga con anticipación al vencimiento de la garantía en la etapa respectiva.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el monto de los derechos de explotación, de un año, resulte inferior al valor absoluto pagado durante el año inmediatamente anterior, el concesionario estará obligado al pago de la diferencia a título de compensación contractual.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No habrá lugar a conceptos, ni actos administrativos que varíen los derechos de explotación, la rentabilidad mínima ni el valor de los contratos.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 xml:space="preserve">ARTÍCULO </w:t>
      </w:r>
      <w:r w:rsidRPr="003A174E">
        <w:rPr>
          <w:rFonts w:ascii="Georgia" w:hAnsi="Georgia"/>
          <w:b/>
          <w:i/>
          <w:sz w:val="24"/>
          <w:szCs w:val="24"/>
          <w:lang w:val="es-ES"/>
        </w:rPr>
        <w:t>63°</w:t>
      </w:r>
      <w:r w:rsidRPr="003A174E">
        <w:rPr>
          <w:rFonts w:ascii="Georgia" w:hAnsi="Georgia"/>
          <w:i/>
          <w:sz w:val="24"/>
          <w:szCs w:val="24"/>
        </w:rPr>
        <w:t>.</w:t>
      </w:r>
      <w:r w:rsidRPr="003A174E">
        <w:rPr>
          <w:rFonts w:ascii="Georgia" w:hAnsi="Georgia"/>
          <w:b/>
          <w:i/>
          <w:sz w:val="24"/>
          <w:szCs w:val="24"/>
          <w:lang w:val="es-ES"/>
        </w:rPr>
        <w:t>PROHIBICIÓN DE GRAVAR EL MONOPOLIO RENTÍSTICO.</w:t>
      </w:r>
      <w:r w:rsidRPr="003A174E">
        <w:rPr>
          <w:rFonts w:ascii="Georgia" w:hAnsi="Georgia"/>
          <w:i/>
          <w:sz w:val="24"/>
          <w:szCs w:val="24"/>
          <w:lang w:val="es-ES"/>
        </w:rPr>
        <w:t xml:space="preserve"> </w:t>
      </w:r>
      <w:r w:rsidRPr="003A174E">
        <w:rPr>
          <w:rFonts w:ascii="Georgia" w:hAnsi="Georgia"/>
          <w:i/>
          <w:sz w:val="24"/>
          <w:szCs w:val="24"/>
        </w:rPr>
        <w:t xml:space="preserve">Modifíquese el artículo 49 de la Ley 643 de 2001, el cual quedará </w:t>
      </w:r>
      <w:r w:rsidRPr="003A174E">
        <w:rPr>
          <w:rFonts w:ascii="Georgia" w:hAnsi="Georgia"/>
          <w:i/>
          <w:sz w:val="24"/>
          <w:szCs w:val="24"/>
          <w:lang w:val="es-CO"/>
        </w:rPr>
        <w:t xml:space="preserve">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lang w:val="es-CO"/>
        </w:rPr>
        <w:t>ARTÍCULO</w:t>
      </w:r>
      <w:r w:rsidRPr="003A174E">
        <w:rPr>
          <w:rFonts w:ascii="Georgia" w:hAnsi="Georgia"/>
          <w:i/>
          <w:sz w:val="24"/>
          <w:szCs w:val="24"/>
        </w:rPr>
        <w:t xml:space="preserve"> 49. PROHIBICIÓN DE GRAVAR EL MONOPOLIO RENTÍSTICO.En las concesiones o autorizaciones para operar juegos de suerte y azar, en las cuales el precio pagado por el aportador incluye el IVA, de pleno derecho, se efectuará el ajuste del valor del contrato respectivo en caso de incremento en la tarifa de este impuesto.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La suscripción, ejecución y liquidación de los contratos  para la operación de todas las modalidades de juegos  de suerte y azar, los puntos de venta, las agencias, establecimientos de comercio donde ellos operan, los premios y, en general todos los actos de la operación comercial de la actividad de juegos de suerte y azar, no pueden estas gravados con ningún impuesto directo o indirecto, tasas, contribuciones fiscales o parafiscales, estampillas, ni tarifas diferenciales por concepto de impuestos de carácter municipal, distrital o departamental.</w:t>
      </w:r>
    </w:p>
    <w:p w:rsidR="00EC45FF" w:rsidRPr="003A174E" w:rsidRDefault="00EC45FF" w:rsidP="00EC45FF">
      <w:pPr>
        <w:spacing w:afterLines="20" w:after="48" w:line="240" w:lineRule="auto"/>
        <w:jc w:val="both"/>
        <w:rPr>
          <w:rFonts w:ascii="Georgia" w:hAnsi="Georgia"/>
          <w:b/>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lastRenderedPageBreak/>
        <w:t>ARTÍCULO 64°. CRÉDITOS DE TESORERÍA DE CORTO PLAZO.</w:t>
      </w:r>
      <w:r w:rsidRPr="003A174E">
        <w:rPr>
          <w:rFonts w:ascii="Georgia" w:hAnsi="Georgia"/>
          <w:i/>
          <w:sz w:val="24"/>
          <w:szCs w:val="24"/>
        </w:rPr>
        <w:t xml:space="preserve"> En las Em</w:t>
      </w:r>
      <w:r w:rsidRPr="003A174E">
        <w:rPr>
          <w:rFonts w:ascii="Georgia" w:hAnsi="Georgia"/>
          <w:i/>
          <w:sz w:val="24"/>
          <w:szCs w:val="24"/>
          <w:lang w:val="es-CO"/>
        </w:rPr>
        <w:t>presas Industriales y Comerciales del Estado  y en las Sociedades de Economía Mixta que tengan régimen de Empresa Industrial y Comercial del Estado, que desarrollen su objeto social en mercados en competencia, y que tengan una calificación de crédito mínimo de A+ (Col) podrán celebrar créditos de tesorería de corto plazo previa aprobación de su Junta Directiva, sin superar el 10% de los ingresos de explotación de la vigencia en curso y sin requerirse concepto de otro órgano y entidad.</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Los créditos de tesorería de corto plazo, no servirán para modificar el presupuesto de la vigencia en curso, ni para soportar adiciones al presupuesto de gastos.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65°. OPERACIONES FINAGRO</w:t>
      </w:r>
      <w:r w:rsidRPr="003A174E">
        <w:rPr>
          <w:rFonts w:ascii="Georgia" w:hAnsi="Georgia"/>
          <w:i/>
          <w:sz w:val="24"/>
          <w:szCs w:val="24"/>
          <w:lang w:val="es-CO"/>
        </w:rPr>
        <w:t>. Adiciónese los numerales 6 y 7 al artículo 10 de la Ley 16 de 1990 modificado por el artículo 4 del Decreto 2371 de 2015 e incorporado en el artículo 230 del Estatuto Orgánico del Sistema Financiero,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Transferir recursos al fondo de microfinanzas rurales hasta en un 20% de su patrimonio técnico conforme a las directrices de su junta directiva.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7. Realizar operaciones de redescuento con entidades microfinancieras no vigiladas por la Superintendencia Financiera de Colombia, sujeto a los límites aplicables a las cooperativas de ahorro y crédito vigiladas por la superintendencia de economía solidaria y a los límites aplicables a las cooperativas de ahorro y crédito vigiladas por la Superintendencia de Economía Solidaria y a las operaciones que en desarrollo de este artículo reglamente la Comisión Nacional de Crédito Agropecuario. La junta directiva de FINAGRO autorizará los cupos a cada entidad precio estudios de riesgos realizados por FINAGRO a cada entidad no vigilada.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ARTÍCULO 66°. RENTAS EXENTAS A PARTIR DEL AÑO GRAVABLE 2019. </w:t>
      </w:r>
      <w:r w:rsidRPr="003A174E">
        <w:rPr>
          <w:rFonts w:ascii="Georgia" w:hAnsi="Georgia"/>
          <w:i/>
          <w:sz w:val="24"/>
          <w:szCs w:val="24"/>
          <w:lang w:val="es-CO"/>
        </w:rPr>
        <w:t>Interprétese con autoridad el primer inciso del artículo 235-2 del Estatuto Tributario, modificado por el artículo 79 de la Ley 1943 de 2018, y entiéndase que las rentas exentas de las personas naturales comprenden las de los artículos 126-1, 126-4, 206 y 206-1 del Estatuto Tributario y las reconocidas en convenios internacionales, desde el 1° de enero de 2019 inclusive.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 xml:space="preserve">ARTÍCULO </w:t>
      </w:r>
      <w:r w:rsidRPr="003A174E">
        <w:rPr>
          <w:rFonts w:ascii="Georgia" w:hAnsi="Georgia"/>
          <w:b/>
          <w:i/>
          <w:sz w:val="24"/>
          <w:szCs w:val="24"/>
          <w:lang w:val="es-ES"/>
        </w:rPr>
        <w:t>67°</w:t>
      </w:r>
      <w:r w:rsidRPr="003A174E">
        <w:rPr>
          <w:rFonts w:ascii="Georgia" w:hAnsi="Georgia"/>
          <w:b/>
          <w:i/>
          <w:sz w:val="24"/>
          <w:szCs w:val="24"/>
        </w:rPr>
        <w:t>.</w:t>
      </w:r>
      <w:r w:rsidRPr="003A174E">
        <w:rPr>
          <w:rFonts w:ascii="Georgia" w:hAnsi="Georgia"/>
          <w:i/>
          <w:sz w:val="24"/>
          <w:szCs w:val="24"/>
        </w:rPr>
        <w:t xml:space="preserve"> </w:t>
      </w:r>
      <w:r w:rsidRPr="003A174E">
        <w:rPr>
          <w:rFonts w:ascii="Georgia" w:hAnsi="Georgia"/>
          <w:b/>
          <w:i/>
          <w:sz w:val="24"/>
          <w:szCs w:val="24"/>
          <w:lang w:val="es-ES"/>
        </w:rPr>
        <w:t xml:space="preserve">TARIFA ESPECIAL PARA DIVIDENDOS O PARTICIPACIONES RECIBIDAS POR SOCIEDADES NACIONALES. </w:t>
      </w:r>
      <w:r w:rsidRPr="003A174E">
        <w:rPr>
          <w:rFonts w:ascii="Georgia" w:hAnsi="Georgia"/>
          <w:i/>
          <w:sz w:val="24"/>
          <w:szCs w:val="24"/>
        </w:rPr>
        <w:t xml:space="preserve">Modificar el </w:t>
      </w:r>
      <w:r w:rsidRPr="003A174E">
        <w:rPr>
          <w:rFonts w:ascii="Georgia" w:hAnsi="Georgia"/>
          <w:i/>
          <w:sz w:val="24"/>
          <w:szCs w:val="24"/>
          <w:lang w:val="es-ES"/>
        </w:rPr>
        <w:t>p</w:t>
      </w:r>
      <w:r w:rsidRPr="003A174E">
        <w:rPr>
          <w:rFonts w:ascii="Georgia" w:hAnsi="Georgia"/>
          <w:i/>
          <w:sz w:val="24"/>
          <w:szCs w:val="24"/>
        </w:rPr>
        <w:t xml:space="preserve">arágrafo 3 del artículo 50 de la Ley 1943 de 2018 que adicionó el </w:t>
      </w:r>
      <w:r w:rsidRPr="003A174E">
        <w:rPr>
          <w:rFonts w:ascii="Georgia" w:hAnsi="Georgia"/>
          <w:i/>
          <w:sz w:val="24"/>
          <w:szCs w:val="24"/>
          <w:lang w:val="es-CO"/>
        </w:rPr>
        <w:t>artículo 242-1 del Estatuto Tributario referido a la tarifa especial para dividendos o participaciones recibidas por sociedades nacionales,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lastRenderedPageBreak/>
        <w:t>PARÁGRAFO</w:t>
      </w:r>
      <w:r w:rsidRPr="003A174E">
        <w:rPr>
          <w:rFonts w:ascii="Georgia" w:hAnsi="Georgia"/>
          <w:b/>
          <w:i/>
          <w:sz w:val="24"/>
          <w:szCs w:val="24"/>
        </w:rPr>
        <w:t xml:space="preserve"> 3.</w:t>
      </w:r>
      <w:r w:rsidRPr="003A174E">
        <w:rPr>
          <w:rFonts w:ascii="Georgia" w:hAnsi="Georgia"/>
          <w:i/>
          <w:sz w:val="24"/>
          <w:szCs w:val="24"/>
        </w:rPr>
        <w:t xml:space="preserve"> 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b/>
          <w:bCs/>
          <w:i/>
          <w:iCs/>
          <w:color w:val="000000"/>
          <w:sz w:val="24"/>
          <w:szCs w:val="24"/>
          <w:bdr w:val="none" w:sz="0" w:space="0" w:color="auto" w:frame="1"/>
          <w:lang w:val="es-ES_tradnl" w:eastAsia="en-US"/>
        </w:rPr>
        <w:t xml:space="preserve">ARTÍCULO 68 (NUEVO). MOVILIZACIÓN DE CARTERA. </w:t>
      </w:r>
      <w:r w:rsidRPr="003A174E">
        <w:rPr>
          <w:rFonts w:ascii="Georgia" w:eastAsia="Times New Roman" w:hAnsi="Georgia"/>
          <w:i/>
          <w:iCs/>
          <w:color w:val="000000"/>
          <w:sz w:val="24"/>
          <w:szCs w:val="24"/>
          <w:bdr w:val="none" w:sz="0" w:space="0" w:color="auto" w:frame="1"/>
          <w:lang w:val="es-ES_tradnl" w:eastAsia="en-US"/>
        </w:rPr>
        <w:t>A partir de la expedición de la presente Ley, las entidades estatales o públicas del orden nacional con excepción de las entidades financieras de carácter estatal, las Empresas Industriales y Comerciales del Estado, las Sociedades de Economía Mixta y las entidades en liquidación, deberán vender la cartera con más de ciento ochenta (180) días de vencida al colector de activos de la Nación, Central de Inversiones (CISA), para que este las gestione.</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 </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Respecto de la cartera de naturaleza coactiva, las entidades de que trata este artículo, al igual que las de orden territorial, podrán enajenarla a CISA, quien para su recuperación podrá aplicar sus políticas de descuento y podrá dar aplicación al mecanismo de notificación electrónica de que trata el artículo 566-1 del Estatuto Tributario, que también aplicará para cualquier acto derivado del procedimiento establecido en el artículo 823 del referido Estatuto y demás normas que lo complementen o modifiquen. Se entenderá que los titulares de datos personales autorizan expresamente la notificación a través de este medio, de conformidad con lo previsto en el artículo 56 de la Ley 1437 de 2011.</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 </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CISA en su condición de colector de activos públicos de la Nación, tendrá acceso a las bases del Registro Único Tributario (RUT) y el Registro Único Nacional de Transito (RUNT) para obtener la información de correo electrónico de los deudores.</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 </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En los eventos en que la cartera sea de imposible recudo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estatales o públicas del orden nacional, podrán realizar la depuración definitiva de estos saldos contables, realizando un informe detallado de las causales por las cuales se depura y las excluirá de la gestión. El Gobierno nacional reglamentará la materia. Los recursos obtenidos por esta venta serán girados por los plazos fijados por CISA atendiendo sus disponibilidades de caja así: i) Al Tesoro Nacional en el caso de las entidades que hacen parte del presupuesto nacional; y ii) directamente a los patrimonios autónomos de remanentes y a las entidades pertenecientes al sector descentralizado del nivel nacional, cobijados por lo dispuesto en el artículo 238 de la Ley 1450 de 2011, así como los fondos especiales cuya ley de creación incluya ingresos de capital por venta de bienes propios de las entidades a las que están adscritos como fuentes de recursos.</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t> </w:t>
      </w:r>
    </w:p>
    <w:p w:rsidR="00EC45FF" w:rsidRPr="003A174E" w:rsidRDefault="00EC45FF" w:rsidP="00EC45FF">
      <w:pPr>
        <w:shd w:val="clear" w:color="auto" w:fill="FFFFFF"/>
        <w:spacing w:after="0" w:line="235" w:lineRule="atLeast"/>
        <w:jc w:val="both"/>
        <w:rPr>
          <w:rFonts w:ascii="Georgia" w:eastAsia="Times New Roman" w:hAnsi="Georgia"/>
          <w:i/>
          <w:color w:val="000000"/>
          <w:sz w:val="24"/>
          <w:szCs w:val="24"/>
          <w:lang w:val="es-ES" w:eastAsia="en-US"/>
        </w:rPr>
      </w:pPr>
      <w:r w:rsidRPr="003A174E">
        <w:rPr>
          <w:rFonts w:ascii="Georgia" w:eastAsia="Times New Roman" w:hAnsi="Georgia"/>
          <w:i/>
          <w:iCs/>
          <w:color w:val="000000"/>
          <w:sz w:val="24"/>
          <w:szCs w:val="24"/>
          <w:bdr w:val="none" w:sz="0" w:space="0" w:color="auto" w:frame="1"/>
          <w:lang w:val="es-ES_tradnl" w:eastAsia="en-US"/>
        </w:rPr>
        <w:lastRenderedPageBreak/>
        <w:t>CISA causará para efectos fiscales los ingresos que genere el cobro de cartera, solamente cuando se produzca el recaudo efectivo o se produzca su enajenación.</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hd w:val="clear" w:color="auto" w:fill="FFFFFF"/>
        <w:spacing w:after="0" w:line="235" w:lineRule="atLeast"/>
        <w:jc w:val="both"/>
        <w:rPr>
          <w:rFonts w:ascii="Georgia" w:eastAsia="Times New Roman" w:hAnsi="Georgia"/>
          <w:i/>
          <w:iCs/>
          <w:color w:val="000000"/>
          <w:sz w:val="24"/>
          <w:szCs w:val="24"/>
          <w:bdr w:val="none" w:sz="0" w:space="0" w:color="auto" w:frame="1"/>
          <w:lang w:val="es-ES_tradnl" w:eastAsia="en-US"/>
        </w:rPr>
      </w:pPr>
      <w:r w:rsidRPr="003A174E">
        <w:rPr>
          <w:rFonts w:ascii="Georgia" w:hAnsi="Georgia"/>
          <w:b/>
          <w:i/>
          <w:sz w:val="24"/>
          <w:szCs w:val="24"/>
          <w:lang w:val="es-CO"/>
        </w:rPr>
        <w:t xml:space="preserve">ARTÍCULO 69 (NUEVO) AEROPUERTO DEL CAFÉ – AEROCAFE. </w:t>
      </w:r>
      <w:r w:rsidRPr="003A174E">
        <w:rPr>
          <w:rFonts w:ascii="Georgia" w:hAnsi="Georgia"/>
          <w:i/>
          <w:color w:val="000000"/>
          <w:sz w:val="24"/>
          <w:szCs w:val="24"/>
          <w:shd w:val="clear" w:color="auto" w:fill="FFFFFF"/>
        </w:rPr>
        <w:t xml:space="preserve">Los recursos asignados en el presupuesto general de la nación con destino a la construcción del aeropuerto del café -Aerocafé- serán ejecutados por la Asociación Aeropuerto del Café -AEROCAFÉ-, a través de la constitución de un Patrimonio Autónomo. Todos los recursos destinados al proyecto se administrarán a través del Patrimonio Autónomo antes mencionado, incluidos los que llegaren a  transferir las Entidades Territoriales o demás aportantes a título gratuito, sin que por tal </w:t>
      </w:r>
      <w:r w:rsidRPr="003A174E">
        <w:rPr>
          <w:rFonts w:ascii="Georgia" w:eastAsia="Times New Roman" w:hAnsi="Georgia"/>
          <w:i/>
          <w:iCs/>
          <w:color w:val="000000"/>
          <w:sz w:val="24"/>
          <w:szCs w:val="24"/>
          <w:bdr w:val="none" w:sz="0" w:space="0" w:color="auto" w:frame="1"/>
          <w:lang w:val="es-ES_tradnl" w:eastAsia="en-US"/>
        </w:rPr>
        <w:t>razón adquieran la condición de fideicomitentes.</w:t>
      </w:r>
    </w:p>
    <w:p w:rsidR="00EC45FF" w:rsidRPr="003A174E" w:rsidRDefault="00EC45FF" w:rsidP="00EC45FF">
      <w:pPr>
        <w:shd w:val="clear" w:color="auto" w:fill="FFFFFF"/>
        <w:spacing w:after="0" w:line="235" w:lineRule="atLeast"/>
        <w:jc w:val="both"/>
        <w:rPr>
          <w:rFonts w:ascii="Georgia" w:eastAsia="Times New Roman" w:hAnsi="Georgia"/>
          <w:b/>
          <w:i/>
          <w:iCs/>
          <w:color w:val="000000"/>
          <w:sz w:val="24"/>
          <w:szCs w:val="24"/>
          <w:bdr w:val="none" w:sz="0" w:space="0" w:color="auto" w:frame="1"/>
          <w:lang w:val="es-ES_tradnl" w:eastAsia="en-US"/>
        </w:rPr>
      </w:pPr>
    </w:p>
    <w:p w:rsidR="00EC45FF" w:rsidRPr="003A174E" w:rsidRDefault="00EC45FF" w:rsidP="00EC45FF">
      <w:pPr>
        <w:shd w:val="clear" w:color="auto" w:fill="FFFFFF"/>
        <w:spacing w:after="0" w:line="235" w:lineRule="atLeast"/>
        <w:jc w:val="both"/>
        <w:rPr>
          <w:rFonts w:ascii="Georgia" w:hAnsi="Georgia"/>
          <w:i/>
          <w:sz w:val="24"/>
          <w:szCs w:val="24"/>
          <w:lang w:val="es-ES"/>
        </w:rPr>
      </w:pPr>
      <w:r w:rsidRPr="003A174E">
        <w:rPr>
          <w:rFonts w:ascii="Georgia" w:eastAsia="Times New Roman" w:hAnsi="Georgia"/>
          <w:b/>
          <w:i/>
          <w:iCs/>
          <w:color w:val="000000"/>
          <w:sz w:val="24"/>
          <w:szCs w:val="24"/>
          <w:bdr w:val="none" w:sz="0" w:space="0" w:color="auto" w:frame="1"/>
          <w:lang w:val="es-ES_tradnl" w:eastAsia="en-US"/>
        </w:rPr>
        <w:t>ARTÍCULO 70°. ADMINISTRACIÓN DEL IMPUESTO AL TURISMO</w:t>
      </w:r>
      <w:r w:rsidRPr="003A174E">
        <w:rPr>
          <w:rFonts w:ascii="Georgia" w:eastAsia="Times New Roman" w:hAnsi="Georgia"/>
          <w:i/>
          <w:iCs/>
          <w:color w:val="000000"/>
          <w:sz w:val="24"/>
          <w:szCs w:val="24"/>
          <w:bdr w:val="none" w:sz="0" w:space="0" w:color="auto" w:frame="1"/>
          <w:lang w:val="es-ES_tradnl" w:eastAsia="en-US"/>
        </w:rPr>
        <w:t>. Los rec</w:t>
      </w:r>
      <w:r w:rsidRPr="003A174E">
        <w:rPr>
          <w:rFonts w:ascii="Georgia" w:hAnsi="Georgia"/>
          <w:i/>
          <w:sz w:val="24"/>
          <w:szCs w:val="24"/>
          <w:lang w:val="es-ES"/>
        </w:rPr>
        <w:t>ursos recaudados por concepto del impuesto con destino al turismo de que trata el artículo 4 de la Ley 1101 de 2006, o la norma que la modifique, adicione o sustituya, no servirán de base en el proceso de programación para la financiación de otros programas del sector en el Presupuesto General de la Nación.</w:t>
      </w:r>
    </w:p>
    <w:p w:rsidR="00EC45FF" w:rsidRPr="003A174E" w:rsidRDefault="00EC45FF" w:rsidP="00EC45FF">
      <w:pPr>
        <w:shd w:val="clear" w:color="auto" w:fill="FFFFFF"/>
        <w:spacing w:after="0" w:line="235" w:lineRule="atLeast"/>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eastAsia="+mn-ea" w:hAnsi="Georgia"/>
          <w:b/>
          <w:bCs/>
          <w:i/>
          <w:kern w:val="24"/>
          <w:sz w:val="24"/>
          <w:szCs w:val="24"/>
          <w:lang w:val="es-CO" w:eastAsia="es-CO"/>
        </w:rPr>
      </w:pPr>
      <w:r w:rsidRPr="003A174E">
        <w:rPr>
          <w:rFonts w:ascii="Georgia" w:eastAsia="+mn-ea" w:hAnsi="Georgia"/>
          <w:b/>
          <w:bCs/>
          <w:i/>
          <w:kern w:val="24"/>
          <w:sz w:val="24"/>
          <w:szCs w:val="24"/>
          <w:lang w:val="es-CO" w:eastAsia="es-CO"/>
        </w:rPr>
        <w:t xml:space="preserve">ARTÍCULO 71°. DECLARACIÓN Y PAGO NACIONAL. </w:t>
      </w:r>
      <w:r w:rsidRPr="003A174E">
        <w:rPr>
          <w:rFonts w:ascii="Georgia" w:eastAsia="+mn-ea" w:hAnsi="Georgia"/>
          <w:bCs/>
          <w:i/>
          <w:kern w:val="24"/>
          <w:sz w:val="24"/>
          <w:szCs w:val="24"/>
          <w:lang w:val="es-CO" w:eastAsia="es-CO"/>
        </w:rPr>
        <w:t>Modifíquese el artículo 344 de la Ley 1819 de 2016, el cual quedará así:</w:t>
      </w:r>
      <w:r w:rsidRPr="003A174E">
        <w:rPr>
          <w:rFonts w:ascii="Georgia" w:eastAsia="+mn-ea" w:hAnsi="Georgia"/>
          <w:b/>
          <w:bCs/>
          <w:i/>
          <w:kern w:val="24"/>
          <w:sz w:val="24"/>
          <w:szCs w:val="24"/>
          <w:lang w:val="es-CO" w:eastAsia="es-CO"/>
        </w:rPr>
        <w:t xml:space="preserve"> </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i/>
          <w:kern w:val="24"/>
          <w:sz w:val="24"/>
          <w:szCs w:val="24"/>
          <w:lang w:val="es-CO" w:eastAsia="es-CO"/>
        </w:rPr>
        <w:t>ARTÍCULO 344. DECLARACIÓN Y PAGO NACIONAL. Las administraciones departamentales, municipales y distritales deberán adoptar y exigir a los contribuyentes presentar la declaración del impuesto de Industria y Comercio en el formulario único nacional diseñado por la Dirección General de Apoyo Fiscal del Ministerio de Hacienda y Crédito Público.</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i/>
          <w:kern w:val="24"/>
          <w:sz w:val="24"/>
          <w:szCs w:val="24"/>
          <w:lang w:val="es-CO" w:eastAsia="es-CO"/>
        </w:rPr>
        <w:t>En el evento en que los municipios o distritos establezcan mecanismos de retención en la fuente del impuesto de industria y comercio, tales formularios serán adaptados a partir del formulario único nacional por cada entidad.</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i/>
          <w:kern w:val="24"/>
          <w:sz w:val="24"/>
          <w:szCs w:val="24"/>
          <w:lang w:val="es-CO" w:eastAsia="es-CO"/>
        </w:rPr>
        <w:t>Para efectos de la presentación de la declaración y el pago, los municipios y distritos podrán suscribir convenios con las entidades financieras vigiladas por la Superintendencia Financiera de Colombia, con cobertura nacional, de tal forma que los sujetos pasivos puedan cumplir con sus obligaciones tributarias desde cualquier lugar del país, y a través de medios electrónicos de pago, sin perjuicio de remitir la constancia de declaración y pago a la entidad territorial sujeto activo del tributo. La declaración se entenderá presentada en la fecha de pago siempre y cuando, el pago se haya realizado dentro del término establecido, y se remita dentro de los 15 días hábiles siguientes a dicha fecha.</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i/>
          <w:kern w:val="24"/>
          <w:sz w:val="24"/>
          <w:szCs w:val="24"/>
          <w:lang w:val="es-CO" w:eastAsia="es-CO"/>
        </w:rPr>
        <w:t>Las administraciones departamentales, municipales y distritales deberán permitir a los contribuyentes del impuesto de industria y comercio y de los demás tributos por ellas administrados, el cumplimiento de las obligaciones tributarias desde cualquier lugar del país, incluyendo la utilización de medios electrónicos.</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i/>
          <w:kern w:val="24"/>
          <w:sz w:val="24"/>
          <w:szCs w:val="24"/>
          <w:lang w:val="es-CO" w:eastAsia="es-CO"/>
        </w:rPr>
        <w:t xml:space="preserve">Las administraciones departamentales, municipales y distritales deberán armonizar la clasificación de actividades económicas de sus registros de información tributaria (RIT) y de las tarifas del impuesto de industria y comercio a la Clasificación de Actividades Económicas que adopte o que se encuentra vigente por parte de la Dirección de Impuestos y Aduanas Nacionales - DIAN para efectos del control y determinación de los impuestos y demás obligaciones tributarias. </w:t>
      </w:r>
    </w:p>
    <w:p w:rsidR="00EC45FF" w:rsidRPr="003A174E" w:rsidRDefault="00EC45FF" w:rsidP="00EC45FF">
      <w:pPr>
        <w:spacing w:afterLines="20" w:after="48" w:line="240" w:lineRule="auto"/>
        <w:jc w:val="both"/>
        <w:rPr>
          <w:rFonts w:ascii="Georgia" w:eastAsia="Times New Roman" w:hAnsi="Georgia"/>
          <w:i/>
          <w:sz w:val="24"/>
          <w:szCs w:val="24"/>
          <w:lang w:val="es-CO" w:eastAsia="es-CO"/>
        </w:rPr>
      </w:pP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r w:rsidRPr="003A174E">
        <w:rPr>
          <w:rFonts w:ascii="Georgia" w:eastAsia="+mn-ea" w:hAnsi="Georgia"/>
          <w:b/>
          <w:i/>
          <w:kern w:val="24"/>
          <w:sz w:val="24"/>
          <w:szCs w:val="24"/>
          <w:lang w:val="es-CO" w:eastAsia="es-CO"/>
        </w:rPr>
        <w:t>PARÁGRAFO.</w:t>
      </w:r>
      <w:r w:rsidRPr="003A174E">
        <w:rPr>
          <w:rFonts w:ascii="Georgia" w:eastAsia="+mn-ea" w:hAnsi="Georgia"/>
          <w:i/>
          <w:kern w:val="24"/>
          <w:sz w:val="24"/>
          <w:szCs w:val="24"/>
          <w:lang w:val="es-CO" w:eastAsia="es-CO"/>
        </w:rPr>
        <w:t xml:space="preserve"> Lo dispuesto en el presente artículo se aplicará en relación con las declaraciones que deban presentarse a partir de la vigencia 2020.</w:t>
      </w:r>
    </w:p>
    <w:p w:rsidR="00EC45FF" w:rsidRPr="003A174E" w:rsidRDefault="00EC45FF" w:rsidP="00EC45FF">
      <w:pPr>
        <w:spacing w:afterLines="20" w:after="48" w:line="240" w:lineRule="auto"/>
        <w:jc w:val="both"/>
        <w:rPr>
          <w:rFonts w:ascii="Georgia" w:eastAsia="+mn-ea" w:hAnsi="Georgia"/>
          <w:i/>
          <w:kern w:val="24"/>
          <w:sz w:val="24"/>
          <w:szCs w:val="24"/>
          <w:lang w:val="es-CO" w:eastAsia="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72°.  INSPECCION Y VIGILANCIA</w:t>
      </w:r>
      <w:r w:rsidRPr="003A174E">
        <w:rPr>
          <w:rFonts w:ascii="Georgia" w:hAnsi="Georgia"/>
          <w:i/>
          <w:sz w:val="24"/>
          <w:szCs w:val="24"/>
          <w:lang w:val="es-CO"/>
        </w:rPr>
        <w:t>. Modifíquese el artículo 14 de la Ley 432 de 1998,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14. INSPECCION Y VIGILANCIA. De conformidad con la reglamentación especial que al efecto expida el Gobierno nacional, el Fondo Nacional del Ahorro - FND estará sometido a la inspección y vigilancia de la Superintendencia Financiera de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b/>
          <w:i/>
          <w:sz w:val="24"/>
          <w:szCs w:val="24"/>
          <w:lang w:val="es-ES"/>
        </w:rPr>
      </w:pPr>
      <w:r w:rsidRPr="003A174E">
        <w:rPr>
          <w:rFonts w:ascii="Georgia" w:hAnsi="Georgia"/>
          <w:b/>
          <w:i/>
          <w:sz w:val="24"/>
          <w:szCs w:val="24"/>
        </w:rPr>
        <w:t xml:space="preserve">ARTÍCULO </w:t>
      </w:r>
      <w:r>
        <w:rPr>
          <w:rFonts w:ascii="Georgia" w:hAnsi="Georgia"/>
          <w:b/>
          <w:i/>
          <w:sz w:val="24"/>
          <w:szCs w:val="24"/>
          <w:lang w:val="es-ES"/>
        </w:rPr>
        <w:t>73</w:t>
      </w:r>
      <w:r w:rsidRPr="003A174E">
        <w:rPr>
          <w:rFonts w:ascii="Georgia" w:hAnsi="Georgia"/>
          <w:b/>
          <w:i/>
          <w:sz w:val="24"/>
          <w:szCs w:val="24"/>
          <w:lang w:val="es-ES"/>
        </w:rPr>
        <w:t>º</w:t>
      </w:r>
      <w:r w:rsidRPr="003A174E">
        <w:rPr>
          <w:rFonts w:ascii="Georgia" w:hAnsi="Georgia"/>
          <w:b/>
          <w:i/>
          <w:sz w:val="24"/>
          <w:szCs w:val="24"/>
        </w:rPr>
        <w:t xml:space="preserve"> (NUEVO). OPERACIONES. </w:t>
      </w:r>
      <w:r w:rsidRPr="003A174E">
        <w:rPr>
          <w:rFonts w:ascii="Georgia" w:hAnsi="Georgia"/>
          <w:i/>
          <w:sz w:val="24"/>
          <w:szCs w:val="24"/>
        </w:rPr>
        <w:t xml:space="preserve">Modifíquese el literal f del artículo 270 del Estatuto Orgánico del Sistema Financiero y adiciónense los literales k y l así: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f. Celebrar contratos de fiducia para administrar los recursos que le transfieran otras entidades públicas para financiar la ejecución de programas especiales relacionados con las actividades de que trata el numeral 2 del artículo 268 del presente estatuto.</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Celebrar negocios fiduciarios con entidades públicas, bajo la modalidad contractual de fiducia mercantil para desarrollar fiducia de inversión, así como para administrar fondos de inversión o carteras colectivas.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k. Otorgar créditos directos a entidades públicas del orden nacional y territorial, entidades de derecho privado y patrimonios autónomos, consorciados con otras instituciones financieras, en los sectores elegibles, para la financiación de proyectos, adquisición de bienes y servicios, manejo de deuda y capital de trabajo.</w:t>
      </w: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Para el desarrollo de esta operación no se aplica lo dispuesto en el numeral 2 del artículo 270 del E.O.S.F.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l. Otorgar Créditos directos a entes territoriales en los sectores elegibles, para la financiación de proyectos, siempre y cuando la fuente de pago de la obligación provenga del Sistema General de Participaciones, Sistema General de Regalías, giro directo de la Nación o con recursos de fondos especiales que estén destinados el desarrollo de los sectores elegibles de financiación.</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Para el desarrollo de esta operación no se aplica lo dispuesto en el numeral 2 del artículo 270 del E.O.S.F.</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b/>
          <w:i/>
          <w:sz w:val="24"/>
          <w:szCs w:val="24"/>
          <w:lang w:val="es-ES"/>
        </w:rPr>
      </w:pPr>
      <w:r>
        <w:rPr>
          <w:rFonts w:ascii="Georgia" w:hAnsi="Georgia"/>
          <w:b/>
          <w:i/>
          <w:sz w:val="24"/>
          <w:szCs w:val="24"/>
        </w:rPr>
        <w:t>ARTÍCULO 74</w:t>
      </w:r>
      <w:r w:rsidRPr="003A174E">
        <w:rPr>
          <w:rFonts w:ascii="Georgia" w:hAnsi="Georgia"/>
          <w:b/>
          <w:i/>
          <w:sz w:val="24"/>
          <w:szCs w:val="24"/>
          <w:lang w:val="es-ES"/>
        </w:rPr>
        <w:t>º</w:t>
      </w:r>
      <w:r w:rsidRPr="003A174E">
        <w:rPr>
          <w:rFonts w:ascii="Georgia" w:hAnsi="Georgia"/>
          <w:b/>
          <w:i/>
          <w:sz w:val="24"/>
          <w:szCs w:val="24"/>
        </w:rPr>
        <w:t xml:space="preserve"> (NUEVO). MECANISMO PARA FACILITAR LA ADMINISTRACIÓN DE BIENES. </w:t>
      </w:r>
      <w:r w:rsidRPr="003A174E">
        <w:rPr>
          <w:rFonts w:ascii="Georgia" w:hAnsi="Georgia"/>
          <w:i/>
          <w:sz w:val="24"/>
          <w:szCs w:val="24"/>
        </w:rPr>
        <w:t xml:space="preserve">Adiciónense los siguientes parágrafos al artículo 92 de la Ley 1708 de 2014, los cuales quedarán así: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rPr>
        <w:t>PARÁGRAFO 3</w:t>
      </w:r>
      <w:r w:rsidRPr="003A174E">
        <w:rPr>
          <w:rFonts w:ascii="Georgia" w:hAnsi="Georgia"/>
          <w:i/>
          <w:sz w:val="24"/>
          <w:szCs w:val="24"/>
          <w:lang w:val="es-CO"/>
        </w:rPr>
        <w:t>°</w:t>
      </w:r>
      <w:r w:rsidRPr="003A174E">
        <w:rPr>
          <w:rFonts w:ascii="Georgia" w:hAnsi="Georgia"/>
          <w:i/>
          <w:sz w:val="24"/>
          <w:szCs w:val="24"/>
        </w:rPr>
        <w:t>. En los ca</w:t>
      </w:r>
      <w:r w:rsidRPr="003A174E">
        <w:rPr>
          <w:rFonts w:ascii="Georgia" w:hAnsi="Georgia"/>
          <w:i/>
          <w:sz w:val="24"/>
          <w:szCs w:val="24"/>
          <w:lang w:val="es-ES"/>
        </w:rPr>
        <w:t>s</w:t>
      </w:r>
      <w:r w:rsidRPr="003A174E">
        <w:rPr>
          <w:rFonts w:ascii="Georgia" w:hAnsi="Georgia"/>
          <w:i/>
          <w:sz w:val="24"/>
          <w:szCs w:val="24"/>
        </w:rPr>
        <w:t xml:space="preserve">os de venta masiva de bienes, el administrador del FRISCO podrá expedir acto administrativo que servirá de título traslaticio de dominio del bien a favor del comprador, el cual deberá inscribirse en el evento en que los bienes sean sujetos a registro. </w:t>
      </w:r>
      <w:r w:rsidRPr="003A174E">
        <w:rPr>
          <w:rFonts w:ascii="Georgia" w:hAnsi="Georgia"/>
          <w:i/>
          <w:sz w:val="24"/>
          <w:szCs w:val="24"/>
          <w:lang w:val="es-ES"/>
        </w:rPr>
        <w:t>Lo anterior, sin perjuicio de las acciones de verificación que puedan adelantarse para establecer el origen lícito de los recursos que destine el comprador para la adquisición.</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PARÁGRAFO 4</w:t>
      </w:r>
      <w:r w:rsidRPr="003A174E">
        <w:rPr>
          <w:rFonts w:ascii="Georgia" w:hAnsi="Georgia"/>
          <w:i/>
          <w:sz w:val="24"/>
          <w:szCs w:val="24"/>
          <w:lang w:val="es-CO"/>
        </w:rPr>
        <w:t>°</w:t>
      </w:r>
      <w:r w:rsidRPr="003A174E">
        <w:rPr>
          <w:rFonts w:ascii="Georgia" w:hAnsi="Georgia"/>
          <w:i/>
          <w:sz w:val="24"/>
          <w:szCs w:val="24"/>
        </w:rPr>
        <w:t xml:space="preserve">. Cuando el administrador del FRISCO emplee la enajenación temprana podrá expedir acto administrativo que servirá de título traslaticio de dominio del bien a favor del FRISCO y tendrá las mismas consecuencias fijadas en el artículo 18 de la Ley 793 de 2002.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PARÁGRAFO 5</w:t>
      </w:r>
      <w:r w:rsidRPr="003A174E">
        <w:rPr>
          <w:rFonts w:ascii="Georgia" w:hAnsi="Georgia"/>
          <w:i/>
          <w:sz w:val="24"/>
          <w:szCs w:val="24"/>
          <w:lang w:val="es-CO"/>
        </w:rPr>
        <w:t>°</w:t>
      </w:r>
      <w:r w:rsidRPr="003A174E">
        <w:rPr>
          <w:rFonts w:ascii="Georgia" w:hAnsi="Georgia"/>
          <w:i/>
          <w:sz w:val="24"/>
          <w:szCs w:val="24"/>
        </w:rPr>
        <w:t xml:space="preserve">. Sin perjuicio de la comercialización individual de los bienes, el administrador del FRISCO podrá, con el apoyo de expertos, adoptar mediante acto administrativo, metodologías fundamentales en factores econométricos para la valoración de activos urbanos con información catastral disponible, que sean susceptibles de enajenación a través de ventas masivas.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PARÁGRAFO 6</w:t>
      </w:r>
      <w:r w:rsidRPr="003A174E">
        <w:rPr>
          <w:rFonts w:ascii="Georgia" w:hAnsi="Georgia"/>
          <w:i/>
          <w:sz w:val="24"/>
          <w:szCs w:val="24"/>
          <w:lang w:val="es-CO"/>
        </w:rPr>
        <w:t>°</w:t>
      </w:r>
      <w:r w:rsidRPr="003A174E">
        <w:rPr>
          <w:rFonts w:ascii="Georgia" w:hAnsi="Georgia"/>
          <w:i/>
          <w:sz w:val="24"/>
          <w:szCs w:val="24"/>
        </w:rPr>
        <w:t>. Será causal de terminación anticipada 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celebraos que no se acojan a las condiciones establecidas en la metodología de administración del FRISCO.</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Configurada la causal de terminación anticipada, el administrador del FRISCO podrá ejercer las facultades de policía administrativa previstas en esta Ley para la recuperación del activo. En todo caso, el administrador del FRISCO, no podrá celebrar contratos de arrendamiento con el afectado dentro del proceso de extinción de dominio o sus familiares dentro del cuarto grado de consanguinidad, segundo de afinidad y primero civil. </w:t>
      </w:r>
    </w:p>
    <w:p w:rsidR="00EC45FF" w:rsidRPr="003A174E" w:rsidRDefault="00EC45FF" w:rsidP="00EC45FF">
      <w:pPr>
        <w:spacing w:after="0"/>
        <w:jc w:val="both"/>
        <w:rPr>
          <w:rFonts w:ascii="Georgia" w:hAnsi="Georgia"/>
          <w:b/>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75</w:t>
      </w:r>
      <w:r w:rsidRPr="003A174E">
        <w:rPr>
          <w:rFonts w:ascii="Georgia" w:hAnsi="Georgia"/>
          <w:b/>
          <w:i/>
          <w:sz w:val="24"/>
          <w:szCs w:val="24"/>
          <w:lang w:val="es-ES"/>
        </w:rPr>
        <w:t>º</w:t>
      </w:r>
      <w:r w:rsidRPr="003A174E">
        <w:rPr>
          <w:rFonts w:ascii="Georgia" w:hAnsi="Georgia"/>
          <w:b/>
          <w:i/>
          <w:sz w:val="24"/>
          <w:szCs w:val="24"/>
        </w:rPr>
        <w:t xml:space="preserve"> (NUEVO). ENAJENACIÓN TEMPRANA, CHATARRIZACIÓN, DEMOLICIÓN Y DESTRUCCIÓN. </w:t>
      </w:r>
      <w:r w:rsidRPr="003A174E">
        <w:rPr>
          <w:rFonts w:ascii="Georgia" w:hAnsi="Georgia"/>
          <w:i/>
          <w:sz w:val="24"/>
          <w:szCs w:val="24"/>
        </w:rPr>
        <w:t xml:space="preserve">Adiciónese un parágrafo al artículo 93 de la Ley 1708 de 2014, el cual quedará así: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lastRenderedPageBreak/>
        <w:t>PARÁGRAFO. Cuando se trate de bienes inmuebles rurales en proceso de extinción de dominio que no tengan la vocación descrita en el artículo 91 de la presente Ley, la entidad beneficiaria de dichos inmuebles comunicará tal situación y el administrador del FRISCO quedará habilitado para enajenarlos tempranamente.</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Los recursos que se obtengan de la comercialización de esto predios serán entregados en su totalidad al Gobierno nacional, para ser destinados a los programas de generación de acceso a tierra administrados por este.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SUBSECCIÓN 3 </w:t>
      </w:r>
    </w:p>
    <w:p w:rsidR="00EC45FF" w:rsidRPr="003A174E" w:rsidRDefault="00EC45FF" w:rsidP="00EC45FF">
      <w:pPr>
        <w:spacing w:after="0"/>
        <w:jc w:val="center"/>
        <w:rPr>
          <w:rFonts w:ascii="Georgia" w:hAnsi="Georgia"/>
          <w:b/>
          <w:i/>
          <w:sz w:val="24"/>
          <w:szCs w:val="24"/>
        </w:rPr>
      </w:pPr>
      <w:r w:rsidRPr="003A174E">
        <w:rPr>
          <w:rFonts w:ascii="Georgia" w:hAnsi="Georgia"/>
          <w:b/>
          <w:i/>
          <w:sz w:val="24"/>
          <w:szCs w:val="24"/>
        </w:rPr>
        <w:t>LEGALIDAD PARA LA PROTECCIÓN SOCIAL</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lang w:val="es-CO"/>
        </w:rPr>
      </w:pPr>
      <w:r>
        <w:rPr>
          <w:rFonts w:ascii="Georgia" w:hAnsi="Georgia"/>
          <w:b/>
          <w:i/>
          <w:sz w:val="24"/>
          <w:szCs w:val="24"/>
        </w:rPr>
        <w:t>ARTÍCULO 76</w:t>
      </w:r>
      <w:r w:rsidRPr="003A174E">
        <w:rPr>
          <w:rFonts w:ascii="Georgia" w:hAnsi="Georgia"/>
          <w:b/>
          <w:i/>
          <w:sz w:val="24"/>
          <w:szCs w:val="24"/>
        </w:rPr>
        <w:t>°.</w:t>
      </w:r>
      <w:r w:rsidRPr="003A174E">
        <w:rPr>
          <w:rFonts w:ascii="Georgia" w:hAnsi="Georgia"/>
          <w:i/>
          <w:sz w:val="24"/>
          <w:szCs w:val="24"/>
        </w:rPr>
        <w:t xml:space="preserve"> C</w:t>
      </w:r>
      <w:r w:rsidRPr="003A174E">
        <w:rPr>
          <w:rFonts w:ascii="Georgia" w:hAnsi="Georgia"/>
          <w:b/>
          <w:i/>
          <w:sz w:val="24"/>
          <w:szCs w:val="24"/>
          <w:lang w:val="es-CO"/>
        </w:rPr>
        <w:t>OMPETENCIAS DE INSPECCIÓN, VIGILANCIA Y CONTROL DE LA SUPERINTENDENCIA NACIONAL DE SALUD RESPECTO DE LA COMPOSICIÓN DE CAPITAL O DEL PATRIMONIO DE LAS EPS</w:t>
      </w:r>
      <w:r w:rsidRPr="003A174E">
        <w:rPr>
          <w:rFonts w:ascii="Georgia" w:hAnsi="Georgia"/>
          <w:i/>
          <w:sz w:val="24"/>
          <w:szCs w:val="24"/>
          <w:lang w:val="es-CO"/>
        </w:rPr>
        <w:t xml:space="preserve">. Todo acto jurídico sin consideración a su naturaleza, de nacionales o extranjeros que tenga por objeto o efecto la adquisición directa o indirecta del diez por ciento (10%) o más de la composición de capital o del patrimonio de una Entidad Promotora de Salud, ya se realice mediante una o varias operaciones de cualquier naturaleza, simultáneas o sucesivas o aquellas por medio de las cuales se incremente dicho porcentaje, requerirá, so pena de ineficacia de pleno derecho, la aprobación del Superintendente Nacional de Salud, quien examinará la idoneidad, responsabilidad y carácter de las personas interesadas en adquirirlas. El Superintendente, además, se cerciorará que el bienestar público será fomentando con dicha transacción.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Superintendente Nacional de Salud verificará que el interesado o potencial adquirente haya acreditado como mínimo los siguientes requisitos, para obtener la aprobación: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 El origen de los recursos objeto del acto o negocio jurídico.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Tener un patrimonio equivalente a, por lo menos, 1.3 veces el capital que se compromete a aportar en el negocio o acto jurídico, incluyendo este último.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Que por lo menos una tercera parte de los recursos con los que se realiza el negocio o acto jurídico, sean propios y no producto de operaciones de endeudamiento u otras análogas.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todo caso, el Superintendente Nacional de Salud, mediante acto administrativo motivado, negará la aprobación de que trata el presente artículo, cuando el interesado o potencial adquirente, o alguno de sus socios, cuando aplique, se encuentren incursos en alguna o varias de las siguientes situaciones: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Haber sido condenado por delitos relacionados con el manejo de recursos públicos.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Haber sido condenado por delitos contra el patrimonio económico, lavado de activos, enriquecimiento ilícito y los establecidos en los Capítulos Segundo del Título X, Primero del Título XV y Segundo del Título XIII del Libro Segundo del Código Penal y las normas que los modifiquen o sustituyan.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Haber sido objeto de declaración de extinción de dominio, por incurrir en las causales previstas en el artículo 16 de la Ley 1708 de 2014 o disposiciones que la modifican o sustituyan.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 Haber sido sancionado por infringir las normas legales o reglamentarias sobre la integración vertical y de posición dominante. </w:t>
      </w: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El Gobierno nacional adecuará, en lo pertinente, las normas vigentes sobre la habilitación y la permanencia de las Entidades Promotoras de Salud. </w:t>
      </w: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 Ministerio de Salud y Protección Social establecerá los parámetros necesarios para definir el beneficiario real de la transferencia, así como su identificación.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El presente artículo aplicará a la inversión extranjera en Entidades Promotoras de Salud sin perjuicio de lo establecido en régimen de la inversión de capitales del exterior en el país.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77</w:t>
      </w:r>
      <w:r w:rsidRPr="003A174E">
        <w:rPr>
          <w:rFonts w:ascii="Georgia" w:hAnsi="Georgia"/>
          <w:b/>
          <w:i/>
          <w:sz w:val="24"/>
          <w:szCs w:val="24"/>
          <w:lang w:val="es-CO"/>
        </w:rPr>
        <w:t>°. CONTRIBUCIÓN DE VIGILANCIA A FAVOR DE LA SUPERINTENDENCIA NACIONAL DE SALUD</w:t>
      </w:r>
      <w:r w:rsidRPr="003A174E">
        <w:rPr>
          <w:rFonts w:ascii="Georgia" w:hAnsi="Georgia"/>
          <w:i/>
          <w:sz w:val="24"/>
          <w:szCs w:val="24"/>
          <w:lang w:val="es-CO"/>
        </w:rPr>
        <w:t>. La contribución de vigilancia a favor de la Superintendencia Nacional de Salud tendrá como fin apoyar el cubrimiento de los costos y gastos que ocasione el funcionamiento e inversión de dicha Superintendencia, la cual deberán cancelar anualmente las personas jurídicas de derecho privado y derecho público sometidos a Inspección, Vigilancia y Control - IVC de acuerdo con la ley o el reglamento.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contribución impuesta se causará el primer día calendario de enero. Si una entidad no permaneció bajo IVC durante todo el año anterior a la causación, pagará la contribución, con base en los ingresos operacionales del sector obtenidos durante el tiempo que estuvo activa.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contribución se fijará por parte de la Superintendencia Nacional de Salud conforme a los siguientes criterios: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1. El total de las contribuciones apoyará el presupuesto anual de funcionamiento   e inversión de la Superintendencia.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Con base en los ingresos operacionales del sector causados a 31 de diciembre del año inmediatamente anterior, la Superintendencia Nacional de Salud, mediante resolución, establecerá anualmente la tarifa de la contribución a cobrar que no podrá ser superior al cero coma dos por ciento (0,2%) de dichos ingresos.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La contribución deberá pagarse en los plazos que para tal efecto determine la Superintendencia Nacional de Salud. De conformidad con el artículo 3 de la Ley 1066 de 2006, los responsables de la contribución aquí establecida que no las cancelen oportunamente deberán liquidar y pagar intereses moratorios a la tasa prevista en el Estatuto Tributario.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Los recursos que administra la ADRES e INDUMIL, los prestadores de servicios de salud con objeto social diferente, los profesionales independientes, las EPS e IPS Indígenas y las Empresas Sociales del Estado quedarán exonerados del pago de contribución de vigilancia a favor de la Superintendencia Nacional de Salud.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Instituciones Prestadoras de Servicios de Salud, los Hospitales Universitarios y las EPS debidamente acreditadas, de conformidad con las normas que expida el Ministerio de Salud y Protección Social, se les aplicará una tarifa diferencial como incentivo a dicha acreditación, de acuerdo con la metodología que defina la Superintendencia Nacional de Salud y el Ministerio de Salud y Protección Social.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La implementación de esta disposición se hará a partir del 01 de enero de 2020, la liquidación y recaudo de la tasa correspondiente a la anualidad 2019 se regirá por lo dispuesto en el artículo 98 de la Ley 488 de 1998.</w:t>
      </w:r>
    </w:p>
    <w:p w:rsidR="00EC45FF" w:rsidRPr="003A174E" w:rsidRDefault="00EC45FF" w:rsidP="00EC45FF">
      <w:pPr>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 xml:space="preserve">ARTÍCULO </w:t>
      </w:r>
      <w:r>
        <w:rPr>
          <w:rFonts w:ascii="Georgia" w:hAnsi="Georgia"/>
          <w:b/>
          <w:i/>
          <w:sz w:val="24"/>
          <w:szCs w:val="24"/>
          <w:lang w:val="es-ES"/>
        </w:rPr>
        <w:t>78</w:t>
      </w:r>
      <w:r w:rsidRPr="003A174E">
        <w:rPr>
          <w:rFonts w:ascii="Georgia" w:hAnsi="Georgia"/>
          <w:b/>
          <w:i/>
          <w:sz w:val="24"/>
          <w:szCs w:val="24"/>
          <w:lang w:val="es-ES"/>
        </w:rPr>
        <w:t>°</w:t>
      </w:r>
      <w:r w:rsidRPr="003A174E">
        <w:rPr>
          <w:rFonts w:ascii="Georgia" w:hAnsi="Georgia"/>
          <w:b/>
          <w:i/>
          <w:sz w:val="24"/>
          <w:szCs w:val="24"/>
        </w:rPr>
        <w:t>.</w:t>
      </w:r>
      <w:r w:rsidRPr="003A174E">
        <w:rPr>
          <w:rFonts w:ascii="Georgia" w:hAnsi="Georgia"/>
          <w:b/>
          <w:i/>
          <w:sz w:val="24"/>
          <w:szCs w:val="24"/>
          <w:lang w:val="es-ES"/>
        </w:rPr>
        <w:t xml:space="preserve"> DIAGNÓSTICO, PREVENCIÓN Y CONTROL DE LA SALMONELLA </w:t>
      </w:r>
      <w:r w:rsidRPr="003A174E">
        <w:rPr>
          <w:rFonts w:ascii="Georgia" w:hAnsi="Georgia"/>
          <w:i/>
          <w:sz w:val="24"/>
          <w:szCs w:val="24"/>
        </w:rPr>
        <w:t xml:space="preserve">Autorícese al Gobierno Nacional para que dentro del Plan Plurianual de Inversiones se asigne con cargo al Presupuesto General de la Nación, </w:t>
      </w:r>
      <w:r w:rsidRPr="003A174E">
        <w:rPr>
          <w:rFonts w:ascii="Georgia" w:hAnsi="Georgia"/>
          <w:i/>
          <w:sz w:val="24"/>
          <w:szCs w:val="24"/>
          <w:lang w:val="es-CO"/>
        </w:rPr>
        <w:t>recursos con destino al Instituto Colombiano Agropecuario –ICA- para el diagnóstico, prevención y control de SALMONELLA ENTERITIDES Y TYPHIMURIUM a nivel de los productores.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79</w:t>
      </w:r>
      <w:r w:rsidRPr="003A174E">
        <w:rPr>
          <w:rFonts w:ascii="Georgia" w:hAnsi="Georgia"/>
          <w:b/>
          <w:i/>
          <w:sz w:val="24"/>
          <w:szCs w:val="24"/>
          <w:lang w:val="es-CO"/>
        </w:rPr>
        <w:t>°. PROGRAMA DE SANEAMIENTO FISCAL Y FINANCIERO.</w:t>
      </w:r>
      <w:r w:rsidRPr="003A174E">
        <w:rPr>
          <w:rFonts w:ascii="Georgia" w:hAnsi="Georgia"/>
          <w:i/>
          <w:sz w:val="24"/>
          <w:szCs w:val="24"/>
          <w:lang w:val="es-CO"/>
        </w:rPr>
        <w:t xml:space="preserve"> Se entiende por Programa de Saneamiento Fiscal y Financiero de Empresas Sociales del Estado, un programa integral, institucional, financiero y administrativo, que tiene por objeto restablecer la solidez económica y financiera de estas Empresas y asegurar la continuidad, la calidad y la oportunidad en la </w:t>
      </w:r>
      <w:r w:rsidRPr="003A174E">
        <w:rPr>
          <w:rFonts w:ascii="Georgia" w:hAnsi="Georgia"/>
          <w:i/>
          <w:sz w:val="24"/>
          <w:szCs w:val="24"/>
          <w:lang w:val="es-CO"/>
        </w:rPr>
        <w:lastRenderedPageBreak/>
        <w:t xml:space="preserve">prestación del servicio público de salud, respetando, en todo caso, lo señalado por el artículo 24 de la Ley 1751 de 2015.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de Hacienda y Crédito Público definirá los parámetros generales de adopción, seguimiento y evaluación de los programas a que hace referencia este artículo y tendrá a cargo la viabilidad y evaluación de los mismos.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Empresas Sociales del Estado categorizadas en riesgo medio o alto, deberán adoptar un programa de saneamiento fiscal y financiero, con el acompañamiento de la dirección departamental o distrital de salud, conforme a la reglamentación y la metodología que defina el Ministerio de Hacienda y Crédito Público.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Empresas Sociales del Estado cuyos Programas de Saneamiento Fiscal y Financiero se encuentren en proceso de viabilidad o debidamente viabilizados por el Ministerio de Hacienda y Crédito Público, a la fecha de entrada en vigencia de la presente Ley, no serán objeto de categorización del riesgo hasta tanto el Programa no se encuentre culminado.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recursos que destine la Nación, las entidades territoriales, las Leyes 1608 de 2013, 1797 de 2016 y demás disposiciones, se podrán aplicar conforme a la reglamentación definida por el Ministerio de Hacienda y Crédito Público. </w:t>
      </w: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Las Empresas Sociales del Estado que hayan sido remitidas por el Ministerio de Hacienda y Crédito Público a la Superintendencia Nacional de Salud, antes de la entrada en vigencia de la presente ley y que en virtud de la competencia establecida en el artículo 80 de la Ley 1438 de 2011, sean categorizadas en riesgo medio o alto por el Ministerio de Salud y Protección Social, podrán presentar un nuevo Programa de Saneamiento Fiscal y Financiero ante el Ministerio de Hacienda y Crédito Público. </w:t>
      </w: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Las fundaciones que sean categorizadas en riesgo medio o alto por el Ministerio de Salud y Protección Social podrán adoptar un Programa de Saneamiento Fiscal y Financiero en las condiciones establecidas en el presente artículo, de conformidad con la reglamentación que para el efecto expida el Ministerio de Hacienda y Crédito Público y acceder a los recursos del Programa de Saneamiento Fiscal y Financiero de que trata la Ley 1608 de 2013 y demás normas. </w:t>
      </w: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El incumplimiento de lo dispuesto en el presente artículo genera responsabilidad disciplinaria y fiscal para los representantes legales y revisores fiscales, de las entidades territoriales y de las Empresas Sociales del Estado, según corresponda.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CUARTO</w:t>
      </w:r>
      <w:r w:rsidRPr="003A174E">
        <w:rPr>
          <w:rFonts w:ascii="Georgia" w:hAnsi="Georgia"/>
          <w:i/>
          <w:sz w:val="24"/>
          <w:szCs w:val="24"/>
          <w:lang w:val="es-CO"/>
        </w:rPr>
        <w:t>. El Ministerio de Hacienda y Crédito Público remitirá a la Superintendencia Nacional de Salud la información de las Empresas Sociales del Estado que, de acuerdo con las evaluaciones realizadas por el Ministerio incumplan el Programa de Saneamiento Fiscal y Financiero, para que la Superintendencia Nacional de Salud adelante las actuaciones a que haya lugar, de conformidad con el marco de sus competencias.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80</w:t>
      </w:r>
      <w:r w:rsidRPr="003A174E">
        <w:rPr>
          <w:rFonts w:ascii="Georgia" w:hAnsi="Georgia"/>
          <w:b/>
          <w:i/>
          <w:sz w:val="24"/>
          <w:szCs w:val="24"/>
          <w:lang w:val="es-CO"/>
        </w:rPr>
        <w:t>°. AUTORIZACIÓN PARA EL USO DE LOS RECURSOS DE LAS ENTIDADES TERRITORIALES.</w:t>
      </w:r>
      <w:r w:rsidRPr="003A174E">
        <w:rPr>
          <w:rFonts w:ascii="Georgia" w:hAnsi="Georgia"/>
          <w:i/>
          <w:sz w:val="24"/>
          <w:szCs w:val="24"/>
        </w:rPr>
        <w:t xml:space="preserve">Las entidades territoriales podrán destinar al saneamiento fiscal y financiero de las empresas Sociales del Estado categorizadas en riesgo medio o alto de la red de prestación de servicios de salud de su departamento, incluidas aquellas que no sean de su propiedad, los recursos dispuestos para este fin por la normatividad vigente y las demás que en adelante los dispongan. En todo caso, los citados recursos se podrán disponer siempre y cuando no sean requeridos para el saneamiento de aquellas ESE de propiedad de la entidad territorial. Los términos y condiciones para la transferencia y uso de los </w:t>
      </w:r>
      <w:r w:rsidRPr="003A174E">
        <w:rPr>
          <w:rFonts w:ascii="Georgia" w:hAnsi="Georgia"/>
          <w:i/>
          <w:sz w:val="24"/>
          <w:szCs w:val="24"/>
          <w:lang w:val="es-CO"/>
        </w:rPr>
        <w:t xml:space="preserve">recursos se deben consignar en un documento debidamente firmado por las partes.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81</w:t>
      </w:r>
      <w:r w:rsidRPr="003A174E">
        <w:rPr>
          <w:rFonts w:ascii="Georgia" w:hAnsi="Georgia"/>
          <w:b/>
          <w:i/>
          <w:sz w:val="24"/>
          <w:szCs w:val="24"/>
          <w:lang w:val="es-CO"/>
        </w:rPr>
        <w:t>º. INSTRUMENTOS DE LA INTERVENCIÓN</w:t>
      </w:r>
      <w:r w:rsidRPr="003A174E">
        <w:rPr>
          <w:rFonts w:ascii="Georgia" w:hAnsi="Georgia"/>
          <w:i/>
          <w:sz w:val="24"/>
          <w:szCs w:val="24"/>
          <w:lang w:val="es-CO"/>
        </w:rPr>
        <w:t>. Adiciónese el literal x) al artículo 48 del Estatuto Orgánico del Sistema Financiero, así:</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x) Establecer normas para la gestión, por parte de las sociedades administradoras, de los fondos de pensiones voluntarias y en particular reglas relativas a las sociedades que administran fondos de pensiones, constitución y régimen general del fondo, operaciones del fondo, prohibiciones y limitaciones, sanciones, aspectos financieros, normas reguladoras de los planes de pensiones, control del fondo de pensiones, disposiciones relativas a la intervención, disolución, liquidación o quiebra de los fondos de pensiones y de las sociedades que los administran, régimen de inversión de estos fondos y el gobierno corporativo de dichas sociedades.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todos sus efectos, se entenderá que los fondos de pensiones voluntarias corresponden a los fondos de jubilación e invalidez a que se refiere el presente Estatuto.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82</w:t>
      </w:r>
      <w:r w:rsidRPr="003A174E">
        <w:rPr>
          <w:rFonts w:ascii="Georgia" w:hAnsi="Georgia"/>
          <w:b/>
          <w:i/>
          <w:sz w:val="24"/>
          <w:szCs w:val="24"/>
          <w:lang w:val="es-CO"/>
        </w:rPr>
        <w:t>º. CARACTERÍSTICAS DEL SISTEMA GENERAL DE PENSIONES.</w:t>
      </w:r>
      <w:r w:rsidRPr="003A174E">
        <w:rPr>
          <w:rFonts w:ascii="Georgia" w:hAnsi="Georgia"/>
          <w:i/>
          <w:sz w:val="24"/>
          <w:szCs w:val="24"/>
          <w:lang w:val="es-CO"/>
        </w:rPr>
        <w:t xml:space="preserve"> Modifíquese el literal j) del artículo 13 de la Ley 100 de 1993, el cual quedará así: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j) no podrá reconocerse simultáneamente a ningún afiliado, pensión de invalidez y de vejez, aún si la pensión de invalidez es de origen laboral. Para evitar concurrencia entre las pensiones, el beneficiario podrá optar por la pensión más favorable. No obstante lo anterior, se respetarán los derechos adquiridos con anterioridad a la vigencia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83</w:t>
      </w:r>
      <w:r w:rsidRPr="003A174E">
        <w:rPr>
          <w:rFonts w:ascii="Georgia" w:hAnsi="Georgia"/>
          <w:b/>
          <w:i/>
          <w:sz w:val="24"/>
          <w:szCs w:val="24"/>
          <w:lang w:val="es-CO"/>
        </w:rPr>
        <w:t>º. ACTUACIONES FRENTE AL RECONOCIMIENTO IRREGULAR DE PRESTACIONES EN EL SISTEMA GENERAL DE PENSIONES</w:t>
      </w:r>
      <w:r w:rsidRPr="003A174E">
        <w:rPr>
          <w:rFonts w:ascii="Georgia" w:hAnsi="Georgia"/>
          <w:i/>
          <w:sz w:val="24"/>
          <w:szCs w:val="24"/>
          <w:lang w:val="es-CO"/>
        </w:rPr>
        <w:t>. Las disposiciones legales que autorizan el inicio de actuaciones tendientes a verificar la irregularidad total o parcial en el reconocimiento de prestaciones pensionales reconocidas con base en documentos falsos, presiones indebidas, inducción a error o cualquier otra práctica corrupta, fraudulenta o irregular, y proceder, si fuere el caso, a su suspensión, modificación o revocatoria, serán aplicables a todas las entidades reconocedoras o pagadoras de pensiones, quienes en cualquier evento deberán asegurarse de respetar el derecho al debido proceso y en particular los principios de la necesidad de la prueba, publicidad y contradicción.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actuaciones de que trata el presente artículo también deberán ser adelantadas cuando se evidencie irregularidad, fraude o falsedad en la afiliación al Sistema General de Pensiones, los traslados de régimen pensional, la historia laboral, la calificación de pérdida capacidad laboral o el reconocimiento al subsidio por incapacidad.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estas actuaciones deban ser adelantadas por entidades que hacen parte del sistema financiero, la Superintendencia Financiera de Colombia deberá ser notificada del inicio del procedimiento, para efectos del ejercicio de sus funciones de inspección y vigilancia y control, si así lo estima, para hacerse parte de mismo.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Las entidades que adelanten las actuaciones tendientes a verificar la irregularidad total o parcial en el reconocimiento de prestaciones pensionales deberán compulsar copias de los hallazgos encontrados a la autoridad competente para que se investiguen las posibles conductas punibles y/o disciplinarias en las que haya incurrido el afiliado o su representante.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lang w:val="es-CO"/>
        </w:rPr>
        <w:t>ARTÍCULO 84</w:t>
      </w:r>
      <w:r w:rsidRPr="003A174E">
        <w:rPr>
          <w:rFonts w:ascii="Georgia" w:hAnsi="Georgia"/>
          <w:b/>
          <w:i/>
          <w:sz w:val="24"/>
          <w:szCs w:val="24"/>
          <w:lang w:val="es-CO"/>
        </w:rPr>
        <w:t xml:space="preserve">°. ASESORÍA DE LAS AFP- </w:t>
      </w:r>
      <w:r w:rsidRPr="003A174E">
        <w:rPr>
          <w:rFonts w:ascii="Georgia" w:hAnsi="Georgia"/>
          <w:i/>
          <w:sz w:val="24"/>
          <w:szCs w:val="24"/>
        </w:rPr>
        <w:t xml:space="preserve">Los afiliados al sistema de pensiones que no hubieran contado con la doble asesoría por parte de Colpensiones o por parte de las Administradoras de los Fondos de Pensiones </w:t>
      </w:r>
      <w:r w:rsidRPr="003A174E">
        <w:rPr>
          <w:rFonts w:ascii="Georgia" w:hAnsi="Georgia"/>
          <w:i/>
          <w:sz w:val="24"/>
          <w:szCs w:val="24"/>
          <w:lang w:val="es-ES"/>
        </w:rPr>
        <w:t xml:space="preserve">- </w:t>
      </w:r>
      <w:r w:rsidRPr="003A174E">
        <w:rPr>
          <w:rFonts w:ascii="Georgia" w:hAnsi="Georgia"/>
          <w:i/>
          <w:sz w:val="24"/>
          <w:szCs w:val="24"/>
        </w:rPr>
        <w:t>AFP, para tomar la decisión sobre su traslado en los términos de la Ley 797 de 2003; quienes, siendo mayor de 50 años, si es mujer o mayor de 52 años si es hombre y que habiendo cotizado 750 semanas o más, se permite el traslado a Colpensiones o a la AFP antes de los próximos 4 meses a partir de la expedición de la presente Ley.</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SUBSECCIÓN 4 </w:t>
      </w: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LEGALIDAD DE LA PROPIEDAD</w:t>
      </w:r>
    </w:p>
    <w:p w:rsidR="00EC45FF" w:rsidRPr="003A174E" w:rsidRDefault="00EC45FF" w:rsidP="00EC45FF">
      <w:pPr>
        <w:spacing w:afterLines="20" w:after="48" w:line="240" w:lineRule="auto"/>
        <w:jc w:val="cente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85</w:t>
      </w:r>
      <w:r w:rsidRPr="003A174E">
        <w:rPr>
          <w:rFonts w:ascii="Georgia" w:hAnsi="Georgia"/>
          <w:b/>
          <w:i/>
          <w:sz w:val="24"/>
          <w:szCs w:val="24"/>
          <w:lang w:val="es-CO"/>
        </w:rPr>
        <w:t>º. NATURALEZA Y ORGANIZACIÓN DE LA GESTIÓN CATASTRAL</w:t>
      </w:r>
      <w:r w:rsidRPr="003A174E">
        <w:rPr>
          <w:rFonts w:ascii="Georgia" w:hAnsi="Georgia"/>
          <w:i/>
          <w:sz w:val="24"/>
          <w:szCs w:val="24"/>
          <w:lang w:val="es-CO"/>
        </w:rPr>
        <w:t>. La gestión catastral es un servicio público que comprende un conjunto de operaciones técnicas y administrativas orientadas a la adecuada formación, actualización, conservación y difusión de la información catastral, así como los procedimientos del enfoque catastral multipropósito que sean adoptados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gestión catastral será prestada por: i) Una autoridad catastral nacional que regulará la gestión catastral, y estará a cargo del Instituto Geográfico Agustín Codazzi - IGAC; ii) Por gestores catastrales, encargados de adelantar la formación, actualización, conservación y difusión catastral, así como los procedimientos del enfoque catastral multipropósito adoptados para el efecto; y iii) Por operadores catastrales, quienes desarrollarán labores operativas relativas a la gestión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Instituto Geográfico Agustín Codazzi - IGAC será la máxima autoridad catastral nacional y prestador por excepción del servicio público de catastro, en ausencia de gestores catastrales habilitados. En su rol de autoridad catastral, el IGAC mantendrá la función reguladora y ejecutora en materia de gestión catastral, agrología, cartografía, geografía y geodesia.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el fin de garantizar el adecuado cumplimiento de los estándares de rigor y pertinencia de la gestión catastral, el Instituto Geográfico Agustín Codazzi –IGAC, convocará una instancia técnica asesora que asegure la idoneidad de la regulación técnica bajo su responsabilidad.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IGAC, a solicitud de parte, y previo cumplimiento de las condiciones jurídicas, técnicas, económicas y financieras, definidas en el respectivo marco regulatorio, habilitará como gestores catastrales para la prestación del servicio catastral a las entidades públicas nacionales o territoriales, incluyendo, entre otros, esquemas asociativos de entidades territoriales.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gestores catastrales podrán adelantar la gestión catastral para la formación, actualización y conservación catastral, así como los procedimientos del enfoque catastral multipropósito que sean adoptados, directamente o mediante la contratación de operadores catastrales.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operadores catastrales son las personas jurídicas, de derecho público o privado, que mediante contrato con uno o varios gestores catastrales, desarrollan labores operativas que sirven de insumo para adelantar los procesos de formación, actualización y conservación catastral, así como los procedimientos del enfoque catastral multipropósito que sean adoptados, conforme a la regulación que para el efecto expida el Gobierno nacional. Los operadores catastrales deberán cumplir con los requisitos de idoneidad que defina el Gobierno nacional. El IGAC será gestor catastral por excepción, en ausencia de gestores catastrales habilitados.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Superintendencia de Notariado y Registro - SNR o la entidad que haga sus veces, ejercerá las funciones de inspección, vigilancia y control al ejercicio de la gestión catastral que adelantan todos los sujetos encargados de la gestión catastral incluyendo los gestores y operadores catastrales, así como los usuarios de este servicio.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custodia y gestión de la información catastral corresponde al Estado a través del Instituto Geográfico Agustín Codazzi -IGAC, quien promoverá su producción y difusión. La información generada por los gestores catastrales en ejercicio de sus funciones deberá ser registrada, en los términos y condiciones definidos por la autoridad reguladora, en el Sistema Nacional de Información Catastral - SINIC, el cual será el instrumento para la gestión de la información catastral y debe ser interoperable con otros sistemas de información de acuerdo con los criterios que para el efecto defina la autoridad reguladora. La información registrada en el sistema se considera oficial para todos los fines.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los gestores y operadores catastrales actuarán dando estricto cumplimiento a las disposiciones contenidas en las Leyes 1581 de 2012 y 1712 de 2014, o las normas que las modifiquen, complementen o adicionen.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departamentos podrán apoyar financiera, técnica y administrativamente a los municipios que asuman su gestión catastral y promoverán la coordinación entre gestores catastrales, asociaciones de municipios y municipios para la prestación del servicio público catastral en su jurisdicción.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Conservarán su condición de gestor catastral aquellas entidades que, a la promulgación de la presente Ley, sean titulares de catastros descentralizados o mediante delegación ejerzan la gestión sin necesidad de trámite adicional alguno. Respecto de los catastros descentralizados, a la fecha de entrada en vigencia de la presente Ley, éstos conservarán su calidad de autoridades catastrales por lo cual podrán promover, facilitar y planear el ejercicio de la gestión catastral en concordancia con la regulación nacional en materia catastral sin perjuicio de las competencias legales de la SNR, del IGAC y de la ANT.</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Los gastos asociados a la gestión catastral constituyen gastos de inversión, sin perjuicio de los gastos de funcionamiento que requieran los gestores catastrales para desarrollar sus funciones.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86</w:t>
      </w:r>
      <w:r w:rsidRPr="003A174E">
        <w:rPr>
          <w:rFonts w:ascii="Georgia" w:hAnsi="Georgia"/>
          <w:b/>
          <w:i/>
          <w:sz w:val="24"/>
          <w:szCs w:val="24"/>
          <w:lang w:val="es-CO"/>
        </w:rPr>
        <w:t>º. GESTIÓN CATASTRAL A CARGO DE LA AGENCIA NACIONAL DE TIERRAS - ANT.</w:t>
      </w:r>
      <w:r w:rsidRPr="003A174E">
        <w:rPr>
          <w:rFonts w:ascii="Georgia" w:hAnsi="Georgia"/>
          <w:i/>
          <w:sz w:val="24"/>
          <w:szCs w:val="24"/>
          <w:lang w:val="es-CO"/>
        </w:rPr>
        <w:t xml:space="preserve"> La Agencia Nacional de Tierras - ANT en su calidad de gestor catastral, de acuerdo con los estándares y las especificaciones técnicas determinadas por el Instituto Geográfico Agustín Codazzi - IGAC, levantará los componentes físico y jurídico del catastro, necesarios para los procesos de ordenamiento social de la propiedad o los asociados al desarrollo de proyectos estratégicos del orden nacional priorizados por el Ministerio de Agricultura y Desarrollo Rural.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Agencia Nacional de Tierras - ANT incorporará la información levantada en el suelo rural de su competencia y alimentará con dicha información el sistema de </w:t>
      </w:r>
      <w:r w:rsidRPr="003A174E">
        <w:rPr>
          <w:rFonts w:ascii="Georgia" w:hAnsi="Georgia"/>
          <w:i/>
          <w:sz w:val="24"/>
          <w:szCs w:val="24"/>
          <w:lang w:val="es-CO"/>
        </w:rPr>
        <w:lastRenderedPageBreak/>
        <w:t>información que el Instituto Geográfico Agustín Codazzi - IGAC defina para el efecto. Para el levantamiento de los demás componentes, así como la información correspondiente al suelo urbano, el gestor catastral o el Instituto Geográfico Agustín Codazzi -IGAC deberán coordinar con la Agencia Nacional de Tierras - ANT para completar la intervención integral catastral. En este caso se procurará el levantamiento de la información en campo con un único operador catastral. La Agencia Nacional de Tierras - ANT no tendrá a su cargo la conservación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87</w:t>
      </w:r>
      <w:r w:rsidRPr="003A174E">
        <w:rPr>
          <w:rFonts w:ascii="Georgia" w:hAnsi="Georgia"/>
          <w:b/>
          <w:i/>
          <w:sz w:val="24"/>
          <w:szCs w:val="24"/>
          <w:lang w:val="es-CO"/>
        </w:rPr>
        <w:t>º. INFRACCIONES AL RÉGIMEN DE PRESTACIÓN DEL SERVICIO PÚBLICO DE GESTIÓN CATASTRAL.</w:t>
      </w:r>
      <w:r w:rsidRPr="003A174E">
        <w:rPr>
          <w:rFonts w:ascii="Georgia" w:hAnsi="Georgia"/>
          <w:i/>
          <w:sz w:val="24"/>
          <w:szCs w:val="24"/>
          <w:lang w:val="es-CO"/>
        </w:rPr>
        <w:t xml:space="preserve"> Los propietarios, ocupantes, tenedores o poseedores, titulares de derechos reales o quien tenga cualquier relación fáctica o jurídica con el predio, se encuentran obligados a permitir la entrada de los operadores del catastro a las diferentes unidades prediales cuando se les requiera, a suministrar información veraz y útil, así como a participar en las actividades derivadas del proceso de gestión catastral multipropósito; en igual sentido, les corresponde solicitar la anotación, modificación o rectificación de la información predial de su interés, no hacerlo será considerado una infracción al régimen de gestión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De otra parte, los gestores y operadores del servicio público de catastro serán sujetos del siguiente régimen de infracciones: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No suministrar información oportunamente, o no suministrar información requerida por el Instituto Geográfico Agustín Codazzi -IGAC, relacionada con el Sistema Nacional de Información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Incumplir los procedimientos, protocolos o requisitos previstos por el Instituto Geográfico Agustín Codazzi -IGAC para el suministro y consolidación de la información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Efectuar modificaciones en el Sistema Nacional de Información Catastral sin el cumplimiento de los requisitos documentales de orden técnico o jurídico, fijados por el Instituto Geográfico Agustín Codazzi -IGAC.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Efectuar modificaciones catastrales por fuera de los términos establecidos en los estándares, metodologías y procedimientos definidos por el Instituto Geográfico Agustín Codazzi -IGAC.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Exigir requisitos adicionales a los señalados para la ejecución de trámites o servicios catastrales.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No adelantar las labores de formación, conservación y actualización catastral, pese a haber sido habilitado para el efecto, por el Instituto Geográfico Agustín Codazzi -IGAC.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Aplicar incorrectamente o no aplicar las metodologías, los estándares, metodologías y procedimientos técnicos definidos por el Instituto Geográfico Agustín Codazzi -IGAC en el desarrollo de las actividades propias del catastro.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Atrasar injustificadamente la validación de documentos en el Sistema Nacional de Información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9) Realizar modificaciones catastrales sin los respectivos soportes.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 Presentar desactualización injustificada de la gestión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11) Incumplir los estándares en la entrega adecuada y oportuna de información a los ciudadanos y en la atención de los trámites relacionados con la gestión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12) No cargar la información, o cargarla de manera incompleta, inoportuna y/o no veraz, al Sistema Nacional de Información Catastral.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13) Incumplir las disposiciones contenidas en la presente Ley, la normativa proferida por el Instituto Geográfico Agustín Codazzi – IGAC en ejercicio de su función regulatoria, las instrucciones y órdenes impartidas por la Superintendencia de Notariado y Registro y demás leyes, decretos y reglamentos que regulen la gestión catastral.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infracciones establecidas en el presente artículo podrán ser aplicables al Instituto Geográfico Agustín Codazzi – IGAC cuando ejerza funciones de gestor catastral por excepción, salvo las conductas relacionadas con la causal décima (10) de este artículo, para lo cual la Superintendencia de Notariado y Registro, o quien haga sus veces, se abstendrá de sancionar al IGAC por un término de cuatro (4) años contados a partir de la entrada en vigencia de la presente Ley.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88</w:t>
      </w:r>
      <w:r w:rsidRPr="003A174E">
        <w:rPr>
          <w:rFonts w:ascii="Georgia" w:hAnsi="Georgia"/>
          <w:b/>
          <w:i/>
          <w:sz w:val="24"/>
          <w:szCs w:val="24"/>
          <w:lang w:val="es-CO"/>
        </w:rPr>
        <w:t>º. RÉGIMEN SANCIONATORIO.</w:t>
      </w:r>
      <w:r w:rsidRPr="003A174E">
        <w:rPr>
          <w:rFonts w:ascii="Georgia" w:hAnsi="Georgia"/>
          <w:i/>
          <w:sz w:val="24"/>
          <w:szCs w:val="24"/>
          <w:lang w:val="es-CO"/>
        </w:rPr>
        <w:t xml:space="preserve"> La comisión de las infracciones previstas en el artículo anterior, sin perjuicio de la responsabilidad penal, fiscal o disciplinaria, dará lugar a la imposición por parte de la Superintendencia de Notariado y Registro, o quien haga sus veces, de las siguientes sanciones: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Multa entre veinticinco (25) y doscientos cuarenta y un mil seiscientos cuarenta y cinco (241.645) Unidades de Valor Tributario - UVT. Si la infracción se cometió durante varios años, el monto máximo de la multa se podrá aumentar hasta en ciento veinte mil ochocientos veintitrés (120.823) unidades de valor tributario - UVT, por cada año adicional que dure la infracción.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2) Suspensión temporal de la habilitación en todas o algunas de las actividades que comprenden el servicio de gestión catastral.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Revocatoria de la habilitación como gestor catastral.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Superintendencia de Notariado y Registro, o quien haga sus veces, seguirá el procedimiento administrativo general previsto en el Título III de la Ley 1437 de 2011 o las disposiciones que hagan sus veces.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Dentro de los criterios de atenuación se tendrán en cuenta las condiciones socioeconómicas del infractor aquí previstas, así como las contempladas en la Ley 1437 de 2011. Serán atenuantes específicas para la imposición de sanciones las siguientes conductas y situaciones: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Informar de manera voluntaria a la Superintendencia de Notariado y Registro, o quien haga sus veces, la infracción antes de la notificación del auto de apertura de investigación.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Que las inconsistencias en el ejercicio de la prestación del servicio de gestión catastral no afecten la veracidad de la información.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Corregir o mitigar por su cuenta las inconsistencias en la información catastral antes de la notificación del auto de práctica de pruebas.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sanción la impondrá la Superintendencia de Notariado y Registro, o quien haga sus veces,  según el grado de impacto en la gestión catastral y el factor de reincidencia y los demás agravantes contemplados en la Ley 1437 de 2011.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Superintendencia de Notariado y Registro, o quien haga sus veces, podrá imponer las medidas preventivas que determine necesarias y proporcionales, como la suspensión inmediata de todas o algunas de las actividades del infractor. Cuando la sanción sea la de suspensión o revocatoria de la gestión catastral, el Instituto Geográfico Agustín Codazzi - IGAC asumirá temporalmente su ejercicio hasta cuando se habilite un gestor catastral, directamente o a través de un tercero.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b/>
          <w:i/>
          <w:sz w:val="24"/>
          <w:szCs w:val="24"/>
          <w:lang w:val="es-ES"/>
        </w:rPr>
      </w:pPr>
      <w:r w:rsidRPr="003A174E">
        <w:rPr>
          <w:rFonts w:ascii="Georgia" w:hAnsi="Georgia"/>
          <w:b/>
          <w:i/>
          <w:sz w:val="24"/>
          <w:szCs w:val="24"/>
        </w:rPr>
        <w:t xml:space="preserve">ARTÍCULO </w:t>
      </w:r>
      <w:r>
        <w:rPr>
          <w:rFonts w:ascii="Georgia" w:hAnsi="Georgia"/>
          <w:b/>
          <w:i/>
          <w:sz w:val="24"/>
          <w:szCs w:val="24"/>
          <w:lang w:val="es-ES"/>
        </w:rPr>
        <w:t>89</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CONTRIBUCIÓN PARAFISCAL PARA LA GESTIÓN CATASTRAL.</w:t>
      </w:r>
      <w:r w:rsidRPr="003A174E">
        <w:rPr>
          <w:rFonts w:ascii="Georgia" w:hAnsi="Georgia"/>
          <w:i/>
          <w:sz w:val="24"/>
          <w:szCs w:val="24"/>
        </w:rPr>
        <w:t xml:space="preserve"> Créase la contribución parafiscal para la gestión catastral de soporte al funcionamiento y gestión del servicio público catastral, así como de la  inspección, vigilancia y control.</w:t>
      </w:r>
      <w:r w:rsidRPr="003A174E">
        <w:rPr>
          <w:rFonts w:ascii="Georgia" w:hAnsi="Georgia"/>
          <w:i/>
          <w:sz w:val="24"/>
          <w:szCs w:val="24"/>
          <w:lang w:val="es-ES"/>
        </w:rPr>
        <w:t xml:space="preserve">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El hecho generador de esta contribución es la generación de ingresos derivados de la utilización de la información catastral, por parte de los municipios, distritos y las autoridades ambientales, quienes serán los sujetos pasivos de la contribución. </w:t>
      </w:r>
      <w:r w:rsidRPr="003A174E">
        <w:rPr>
          <w:rFonts w:ascii="Georgia" w:hAnsi="Georgia"/>
          <w:i/>
          <w:sz w:val="24"/>
          <w:szCs w:val="24"/>
        </w:rPr>
        <w:lastRenderedPageBreak/>
        <w:t>El sujeto activo de esta contribución es el Instituto Geográfico Agustín Codazzi -IGAC. La administración y el régimen procedimental para la administración del tributo, será el contemplado en el Estatuto Tributario Nacional.</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Los recursos derivados de la contribución parafiscal de que trata este artículo, así como los rendimientos y excedentes financieros que resulten al cierre del ejercicio contable, serán recaudados y administrados por el Instituto Geográfico Agustín Codazzi - IGAC y se destinarán para financiar el funcionamiento, gestión y la  inspección, vigilancia y control del servicio público catastral. El gobierno nacional definirá la metodología para el cálculo y distribución de los recursos entre el Instituto Geográfico Agustín Codazzi –IGAC y la Superintendencia de Notariado y Registro, asi mismo definirá  los criterios de distribución a los gestores catastrales, conforme a los costos de la prestación del servicio y a los recursos de cofinanciación que aporten para la prestación del servicio público catastral.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Los sujetos pasivos pagarán anualmente como contribución una tarifa que será determinada según el sistema y método aquí establecido. El Gobierno nacional determinará o actualizará anualmente la tarifa de la contribución parafiscal para la gestión catastral con fundamento en el siguiente sistema y método:</w:t>
      </w:r>
    </w:p>
    <w:p w:rsidR="00EC45FF" w:rsidRPr="003A174E" w:rsidRDefault="00EC45FF" w:rsidP="00EC45FF">
      <w:pPr>
        <w:spacing w:after="0"/>
        <w:jc w:val="both"/>
        <w:rPr>
          <w:rFonts w:ascii="Georgia" w:hAnsi="Georgia"/>
          <w:i/>
          <w:sz w:val="24"/>
          <w:szCs w:val="24"/>
        </w:rPr>
      </w:pPr>
    </w:p>
    <w:p w:rsidR="00EC45FF" w:rsidRPr="003A174E" w:rsidRDefault="00EC45FF" w:rsidP="00EC45FF">
      <w:pPr>
        <w:numPr>
          <w:ilvl w:val="0"/>
          <w:numId w:val="10"/>
        </w:numPr>
        <w:spacing w:after="0" w:line="240" w:lineRule="auto"/>
        <w:jc w:val="both"/>
        <w:rPr>
          <w:rFonts w:ascii="Georgia" w:hAnsi="Georgia"/>
          <w:i/>
          <w:sz w:val="24"/>
          <w:szCs w:val="24"/>
        </w:rPr>
      </w:pPr>
      <w:r w:rsidRPr="003A174E">
        <w:rPr>
          <w:rFonts w:ascii="Georgia" w:hAnsi="Georgia"/>
          <w:i/>
          <w:sz w:val="24"/>
          <w:szCs w:val="24"/>
        </w:rPr>
        <w:t xml:space="preserve">La base de distribución para liquidar la contribución es el costo total de administración, operación y mantenimiento del sistema nacional de información catastral y del funcionamiento y gestión del servicio público catastral incluido la inspección, vigilancia y control.  La gestión del servicio público catastral se entenderá en los términos que define esta Ley. De esta base deberán excluirse, los costos que financie el Gobierno nacional; </w:t>
      </w:r>
    </w:p>
    <w:p w:rsidR="00EC45FF" w:rsidRPr="003A174E" w:rsidRDefault="00EC45FF" w:rsidP="00EC45FF">
      <w:pPr>
        <w:numPr>
          <w:ilvl w:val="0"/>
          <w:numId w:val="10"/>
        </w:numPr>
        <w:spacing w:after="0" w:line="240" w:lineRule="auto"/>
        <w:jc w:val="both"/>
        <w:rPr>
          <w:rFonts w:ascii="Georgia" w:hAnsi="Georgia"/>
          <w:i/>
          <w:sz w:val="24"/>
          <w:szCs w:val="24"/>
        </w:rPr>
      </w:pPr>
      <w:r w:rsidRPr="003A174E">
        <w:rPr>
          <w:rFonts w:ascii="Georgia" w:hAnsi="Georgia"/>
          <w:i/>
          <w:sz w:val="24"/>
          <w:szCs w:val="24"/>
        </w:rPr>
        <w:t xml:space="preserve">Para determinar la tarifa se tendrán como criterio los valores recaudados en la vigencia fiscal inmediatamente anterior, por concepto de las rentas cuya determinación y cálculo utilice la información catastral. </w:t>
      </w:r>
    </w:p>
    <w:p w:rsidR="00EC45FF" w:rsidRPr="003A174E" w:rsidRDefault="00EC45FF" w:rsidP="00EC45FF">
      <w:pPr>
        <w:numPr>
          <w:ilvl w:val="0"/>
          <w:numId w:val="10"/>
        </w:numPr>
        <w:spacing w:after="0" w:line="240" w:lineRule="auto"/>
        <w:jc w:val="both"/>
        <w:rPr>
          <w:rFonts w:ascii="Georgia" w:hAnsi="Georgia"/>
          <w:i/>
          <w:sz w:val="24"/>
          <w:szCs w:val="24"/>
        </w:rPr>
      </w:pPr>
      <w:r w:rsidRPr="003A174E">
        <w:rPr>
          <w:rFonts w:ascii="Georgia" w:hAnsi="Georgia"/>
          <w:i/>
          <w:sz w:val="24"/>
          <w:szCs w:val="24"/>
        </w:rPr>
        <w:t xml:space="preserve">Los costos en que incurren quienes actúan como gestores o que cofinancien  el servicio catastral a los entes gestores que les prestan el servicio. </w:t>
      </w:r>
    </w:p>
    <w:p w:rsidR="00EC45FF" w:rsidRPr="003A174E" w:rsidRDefault="00EC45FF" w:rsidP="00EC45FF">
      <w:pPr>
        <w:spacing w:after="0"/>
        <w:ind w:left="72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El método para determinar la tarifa con fundamento en el sistema anterior es el siguiente:</w:t>
      </w:r>
    </w:p>
    <w:p w:rsidR="00EC45FF" w:rsidRPr="003A174E" w:rsidRDefault="00EC45FF" w:rsidP="00EC45FF">
      <w:pPr>
        <w:spacing w:after="0"/>
        <w:jc w:val="both"/>
        <w:rPr>
          <w:rFonts w:ascii="Georgia" w:hAnsi="Georgia"/>
          <w:i/>
          <w:sz w:val="24"/>
          <w:szCs w:val="24"/>
        </w:rPr>
      </w:pPr>
    </w:p>
    <w:p w:rsidR="00EC45FF" w:rsidRPr="003A174E" w:rsidRDefault="00EC45FF" w:rsidP="00EC45FF">
      <w:pPr>
        <w:numPr>
          <w:ilvl w:val="0"/>
          <w:numId w:val="11"/>
        </w:numPr>
        <w:spacing w:after="0" w:line="240" w:lineRule="auto"/>
        <w:jc w:val="both"/>
        <w:rPr>
          <w:rFonts w:ascii="Georgia" w:hAnsi="Georgia"/>
          <w:i/>
          <w:sz w:val="24"/>
          <w:szCs w:val="24"/>
        </w:rPr>
      </w:pPr>
      <w:r w:rsidRPr="003A174E">
        <w:rPr>
          <w:rFonts w:ascii="Georgia" w:hAnsi="Georgia"/>
          <w:i/>
          <w:sz w:val="24"/>
          <w:szCs w:val="24"/>
        </w:rPr>
        <w:t>A cada uno de los criterios que incidan en la determinación de la contribución se le asignará un coeficiente que permita medir el costo - beneficio;</w:t>
      </w:r>
    </w:p>
    <w:p w:rsidR="00EC45FF" w:rsidRPr="003A174E" w:rsidRDefault="00EC45FF" w:rsidP="00EC45FF">
      <w:pPr>
        <w:numPr>
          <w:ilvl w:val="0"/>
          <w:numId w:val="11"/>
        </w:numPr>
        <w:spacing w:after="0" w:line="240" w:lineRule="auto"/>
        <w:jc w:val="both"/>
        <w:rPr>
          <w:rFonts w:ascii="Georgia" w:hAnsi="Georgia"/>
          <w:i/>
          <w:sz w:val="24"/>
          <w:szCs w:val="24"/>
        </w:rPr>
      </w:pPr>
      <w:r w:rsidRPr="003A174E">
        <w:rPr>
          <w:rFonts w:ascii="Georgia" w:hAnsi="Georgia"/>
          <w:i/>
          <w:sz w:val="24"/>
          <w:szCs w:val="24"/>
        </w:rPr>
        <w:t>Los coeficientes se determinarán teniendo en cuenta, los costos asumidos en la gestión catastral cuando el sujeto pasivo sea a su vez gestor catastral o aporte para la prestación del servicio en su jurisdicción y,  la generación de rentas derivadas de la información catastral percibida por el sujeto pasivo.  </w:t>
      </w:r>
    </w:p>
    <w:p w:rsidR="00EC45FF" w:rsidRPr="003A174E" w:rsidRDefault="00EC45FF" w:rsidP="00EC45FF">
      <w:pPr>
        <w:numPr>
          <w:ilvl w:val="0"/>
          <w:numId w:val="11"/>
        </w:numPr>
        <w:spacing w:after="0" w:line="240" w:lineRule="auto"/>
        <w:jc w:val="both"/>
        <w:rPr>
          <w:rFonts w:ascii="Georgia" w:hAnsi="Georgia"/>
          <w:i/>
          <w:sz w:val="24"/>
          <w:szCs w:val="24"/>
        </w:rPr>
      </w:pPr>
      <w:r w:rsidRPr="003A174E">
        <w:rPr>
          <w:rFonts w:ascii="Georgia" w:hAnsi="Georgia"/>
          <w:i/>
          <w:sz w:val="24"/>
          <w:szCs w:val="24"/>
        </w:rPr>
        <w:t>Los criterios así como los coeficientes serán sintetizados en una fórmula matemática que permita el cálculo y determinación de la tarifa que corresponda.</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El gobierno nacional definirá los procedimientos de pago, liquidación y recaudo de esta contribución.</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PARÁGRAFO PRIMERO.</w:t>
      </w:r>
      <w:r w:rsidRPr="003A174E">
        <w:rPr>
          <w:rFonts w:ascii="Georgia" w:hAnsi="Georgia"/>
          <w:i/>
          <w:sz w:val="24"/>
          <w:szCs w:val="24"/>
        </w:rPr>
        <w:t xml:space="preserve"> No están obligados al pago de la contribución parafiscal los municipios que no cuenten con formación catastral a la entrada en vigencia de esta Ley, hasta tanto no sea adelantado dicho proceso y los municipios donde se encuentren vigentes Programas de Desarrollo con Enfoque Territorial (PDET), cuya población sea inferior a 150.000 habitantes</w:t>
      </w:r>
      <w:r w:rsidRPr="003A174E">
        <w:rPr>
          <w:rFonts w:ascii="Georgia" w:hAnsi="Georgia"/>
          <w:i/>
          <w:sz w:val="24"/>
          <w:szCs w:val="24"/>
          <w:lang w:val="es-ES"/>
        </w:rPr>
        <w:t xml:space="preserve"> y que no sea capital de departamento</w:t>
      </w:r>
      <w:r w:rsidRPr="003A174E">
        <w:rPr>
          <w:rFonts w:ascii="Georgia" w:hAnsi="Georgia"/>
          <w:i/>
          <w:sz w:val="24"/>
          <w:szCs w:val="24"/>
        </w:rPr>
        <w:t>.</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b/>
          <w:i/>
          <w:caps/>
          <w:sz w:val="24"/>
          <w:szCs w:val="24"/>
        </w:rPr>
        <w:t>Parágrafo SEGUNDO.</w:t>
      </w:r>
      <w:r w:rsidRPr="003A174E">
        <w:rPr>
          <w:rFonts w:ascii="Georgia" w:hAnsi="Georgia"/>
          <w:i/>
          <w:sz w:val="24"/>
          <w:szCs w:val="24"/>
        </w:rPr>
        <w:t xml:space="preserve"> El monto de la tarifa no podrá superar el cinco 5% sobre el valor total recaudado en la vigencia fiscal inmediatamente anterior por concepto de las rentas cuya determinación y cálculo utilice la información catastral disponible en el Sistema Nacional de Información Catastral.</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90</w:t>
      </w:r>
      <w:r w:rsidRPr="003A174E">
        <w:rPr>
          <w:rFonts w:ascii="Georgia" w:hAnsi="Georgia"/>
          <w:b/>
          <w:i/>
          <w:sz w:val="24"/>
          <w:szCs w:val="24"/>
          <w:lang w:val="es-CO"/>
        </w:rPr>
        <w:t>º. INEMBARGABILIDAD, IMPRESCRIPTIBILIDAD E INALIENABILIDAD</w:t>
      </w:r>
      <w:r w:rsidRPr="003A174E">
        <w:rPr>
          <w:rFonts w:ascii="Georgia" w:hAnsi="Georgia"/>
          <w:i/>
          <w:sz w:val="24"/>
          <w:szCs w:val="24"/>
          <w:lang w:val="es-CO"/>
        </w:rPr>
        <w:t>. Modifíquese el artículo 10 de la Ley 397 de 1997,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10. INEMBARGABILIDAD, IMPRESCRIPTIBILIDAD E INALIENABILIDAD. Los bienes de interés cultural de propiedad de entidades públicas son inembargables, imprescriptibles e inalienables.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Excepcionalmente podrán enajenarse a particulares bienes de interés cultural de propiedad de entidades públicas, previo concepto favorable unánime del Consejo Nacional de Patrimonio Cultural o de los respectivos consejos departamentales o distritales de patrimonio cultural, según el caso, en los siguientes eventos: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Cuando el bien de interés cultural se encuentre en el marco del régimen de propiedad horizontal y la entidad pública sea propietaria de una o varias unidades de vivienda, comercio o industria, y la enajenación se requiera para garantizar la integridad y protección del inmueble.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Cuando la entidad pública sea propietaria del derecho proindiviso o cuota sobre bienes inmuebles, así como derechos fiduciarios en fideicomisos que tienen como bien(es) fideicomitido(s) inmuebles enajenación se requiera para garantizar la integridad y protección del inmueble.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Cuando el bien de interés cultural haya sido objeto de extinción de dominio.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Cuando el bien de interés cultural tenga uso comercial, de servicios o industrial y la entidad pública no pueda usarlo o mantenerlo, de forma que el bien tenga riesgo de deterioro.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5. Cuando la enajenación se haga a instituciones de educación superior o a entidades de derecho privado sin ánimo de lucro que desarrollen de forma principal actividades culturales o de defensa del patrimonio cultural.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todos los casos previstos en este artículo, el respectivo bien mantendrá su condición de bien de interés cultural y quien lo adquiera estará obligado a cumplir las normas aplicables en el régimen especial de protección.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Dentro de los títulos jurídicos de enajenación a particulares y/o entidades públicas se incluye el aporte fiduciario. En todo caso la enajenación se regirá por el régimen de contratación que cobije a la respectiva entidad pública enajenante y demás normas aplicables.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Ministerio de Cultura podrá autorizar la enajenación o el préstamo de bienes de interés cultural del ámbito nacional entre entidades públicas. Los municipios, los departamentos, las autoridades de los territorios indígenas y de las comunidades negras de que trata la Ley 70 de 1993, serán las encargadas de dar aplicación a lo previsto en este parágrafo respecto de los bienes de interés cultural declarados por ellas.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autoridades señaladas en este parágrafo podrán autorizar a las entidades públicas propietarias de bienes de interés cultural para darlos en comodato a entidades privadas sin ánimo de lucro de reconocida idoneidad, hasta por el término de cinco (5) años prorrogables con sujeción a lo previsto en el artículo 355 de la Constitución Política, celebrar convenios interadministrativos y de asociación en la forma prevista en los artículos 95 y 96 de la Ley 489 de 1998 o en las normas que los modifiquen o sustituyan, y en general, celebrar cualquier tipo de contrato, incluidos los de concesión y alianzas público-privadas, que impliquen la entrega de dichos bienes a particulares, siempre que cualquiera de las modalidades que se utilicen se dirijan a proveer y garantizar lo necesario para la protección, recuperación, conservación, sostenibilidad y divulgación de los mismos, sin afectar su inalienabilidad, imprescriptibilidad e inembargabilidad.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91</w:t>
      </w:r>
      <w:r w:rsidRPr="003A174E">
        <w:rPr>
          <w:rFonts w:ascii="Georgia" w:hAnsi="Georgia"/>
          <w:b/>
          <w:i/>
          <w:sz w:val="24"/>
          <w:szCs w:val="24"/>
          <w:lang w:val="es-CO"/>
        </w:rPr>
        <w:t>°. REGISTRO ÚNICO DE PREDIOS Y TERRITORIOS ABANDONADOS - RUPTA.</w:t>
      </w:r>
      <w:r w:rsidRPr="003A174E">
        <w:rPr>
          <w:rFonts w:ascii="Georgia" w:hAnsi="Georgia"/>
          <w:i/>
          <w:sz w:val="24"/>
          <w:szCs w:val="24"/>
          <w:lang w:val="es-CO"/>
        </w:rPr>
        <w:t xml:space="preserve"> Modifíquese el artículo 76 de la Ley 1448 de 2011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76. REGISTRO ÚNICO DE PREDIOS Y TERRITORIOS ABANDONADOS - RUPTA. La inscripción en el RUPTA procederá de oficio, o por solicitud del interesado y deberá realizarse dentro de los dos (2) años siguientes al hecho victimizante, salvo fuerza mayor o caso fortuito.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cancelación en el RUPTA procederá en cualquier tiempo respecto de medidas individuales o colectivas, de oficio o por solicitud del beneficiario de la medida o del </w:t>
      </w:r>
      <w:r w:rsidRPr="003A174E">
        <w:rPr>
          <w:rFonts w:ascii="Georgia" w:hAnsi="Georgia"/>
          <w:i/>
          <w:sz w:val="24"/>
          <w:szCs w:val="24"/>
          <w:lang w:val="es-CO"/>
        </w:rPr>
        <w:lastRenderedPageBreak/>
        <w:t>propietario del predio. Una vez recibida la solicitud, o iniciado el trámite de oficio, la Unidad Administrativa Especial de Gestión de Restitución de Tierras Despojadas, comunicará dicho trámite a través del medio más eficaz a quienes puedan verse directamente afectados por la decisión, a fin de que puedan intervenir en el trámite administrativo para aprobar las pruebas que se pretenden hacer valer. La referida Unidad tendrá un término de sesenta (60) días contados a partir del momento en que acometa el estudio para decidir sobre la inclusión o cancelación en el RUPTA. Este término podrá ser prorrogado hasta por treinta (30) días, cuando existan o sobrevengan circunstancias que lo justifiquen. El Gobierno nacional reglamentará este procedimiento administrativo especial, en armonía con la Ley 1448 de 2011.</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Pr>
          <w:rFonts w:ascii="Georgia" w:hAnsi="Georgia"/>
          <w:b/>
          <w:bCs/>
          <w:i/>
          <w:sz w:val="24"/>
          <w:szCs w:val="24"/>
          <w:lang w:val="es-CO"/>
        </w:rPr>
        <w:t>ARTÍCULO 92</w:t>
      </w:r>
      <w:r w:rsidRPr="003A174E">
        <w:rPr>
          <w:rFonts w:ascii="Georgia" w:hAnsi="Georgia"/>
          <w:b/>
          <w:bCs/>
          <w:i/>
          <w:sz w:val="24"/>
          <w:szCs w:val="24"/>
          <w:lang w:val="es-CO"/>
        </w:rPr>
        <w:t xml:space="preserve">º. CONCEPTO DE VIVIENDA DE INTERÉS SOCIAL. </w:t>
      </w:r>
      <w:r w:rsidRPr="003A174E">
        <w:rPr>
          <w:rFonts w:ascii="Georgia" w:hAnsi="Georgia"/>
          <w:i/>
          <w:sz w:val="24"/>
          <w:szCs w:val="24"/>
          <w:lang w:val="es-CO"/>
        </w:rPr>
        <w:t>De conformidad con lo previsto en el artículo 91 de la Ley 388 de 1997, la vivienda de interés social es aquella que se desarrolla para garantizar el derecho a la vivienda de los hogares de menores ingresos, que cumple con los estándares de calidad en diseño urbanístico, arquitectónico y de construcción sostenible, y cuyo valor no exceda ciento treinta y cinco salarios mínimos mensuales legales vigentes (135 SMMLV). Excepcionalmente, para las aglomeraciones urbanas definidas por el CONPES y cuya población supere un millón (1.000.000) de habitantes, el Gobierno nacional podrá establecer como precio máximo de la vivienda de interés social la suma de ciento cincuenta salarios mínimos mensuales legales vigentes (150 SMMLV). Para el caso de los municipios que hacen parte de dichas aglomeraciones, el valor aplicará únicamente para aquellos en que el Gobierno nacional demuestre presiones en el valor del suelo, que generan dificultades en la provisión de vivienda de interés social. El valor máximo de la Vivienda de Interés Prioritario, será de noventa salarios mínimos mensuales legales vigentes (90 SMMLV).</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Tratándose de programas y/o proyectos de renovación urbana, la vivienda de interés social podrá tener un precio superior a los ciento treinta y cinco salarios mínimos mensuales legales vigentes (135 SMMLV), sin que este exceda los ciento setenta y cinco salarios mínimos mensuales legales vigentes (175 SMMLV). La vivienda de interés prioritario en renovación urbana podrá tener un precio superior a los noventa salarios mínimos mensuales legales vigentes (90 SMMLV), sin que este exceda los ciento diez salarios mínimos mensuales legales vigentes (110 SMMLV).</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PRIMERO: </w:t>
      </w:r>
      <w:r w:rsidRPr="003A174E">
        <w:rPr>
          <w:rFonts w:ascii="Georgia" w:hAnsi="Georgia"/>
          <w:i/>
          <w:iCs/>
          <w:color w:val="333333"/>
          <w:sz w:val="24"/>
          <w:szCs w:val="24"/>
          <w:bdr w:val="none" w:sz="0" w:space="0" w:color="auto" w:frame="1"/>
        </w:rPr>
        <w:t xml:space="preserve">Los </w:t>
      </w:r>
      <w:r w:rsidRPr="003A174E">
        <w:rPr>
          <w:rFonts w:ascii="Georgia" w:hAnsi="Georgia"/>
          <w:i/>
          <w:iCs/>
          <w:color w:val="333333"/>
          <w:sz w:val="24"/>
          <w:szCs w:val="24"/>
          <w:bdr w:val="none" w:sz="0" w:space="0" w:color="auto" w:frame="1"/>
          <w:lang w:val="es-ES"/>
        </w:rPr>
        <w:t>p</w:t>
      </w:r>
      <w:r w:rsidRPr="003A174E">
        <w:rPr>
          <w:rFonts w:ascii="Georgia" w:hAnsi="Georgia"/>
          <w:i/>
          <w:iCs/>
          <w:color w:val="333333"/>
          <w:sz w:val="24"/>
          <w:szCs w:val="24"/>
          <w:bdr w:val="none" w:sz="0" w:space="0" w:color="auto" w:frame="1"/>
        </w:rPr>
        <w:t>royectos de Vivienda de Interés Social implementarán las medidas establecidas por el Gobierno nacional para el ahorro de agua y energía, entre las que se incluyen la iluminación y ventilación natural, de acuerdo con las condiciones climáticas. Asimismo, los proyectos de vivienda, de equipamiento (recreación, deporte, salud, educación) y de espacio público implementarán los criterios de sostenibilidad establecidos por el CONPES 3919 de 2018.</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SEGUNDO.</w:t>
      </w:r>
      <w:r w:rsidRPr="003A174E">
        <w:rPr>
          <w:rFonts w:ascii="Georgia" w:hAnsi="Georgia"/>
          <w:i/>
          <w:sz w:val="24"/>
          <w:szCs w:val="24"/>
          <w:lang w:val="es-CO"/>
        </w:rPr>
        <w:t xml:space="preserve"> En ningún caso se podrán otorgar subsidios por encima del tope de recursos previstos en el Marco Fiscal de Mediano Plazo y en el Marco de Gasto del sector.</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Los recursos correspondientes a subsidios familiares de vivienda urbana que sean objeto de renuncia por parte de su beneficiario, que se venzan, o que correspondan a aquellos recuperados mediante actuaciones administrativas, deberán ser incorporados en el presupuesto del Fondo Nacional de Vivienda (Fonvivienda), y serán destinados a la financiación o cofinanciación de programas o proyectos de vivienda de interés social, a la construcción y/o dotación de equipamientos públicos colectivos y/o a la infraestructura de servicios públicos domiciliarios. Lo anterior, independientemente de la vigencia presupuestal en la que hayan sido asignados los subsidios.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mencionados recursos podrán ser transferidos directamente, total o parcialmente, a cualquiera de los patrimonios autónomos en los que sea fideicomitente el Fonvivienda, o la entidad que indique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Respecto de los subsidios familiares de vivienda urbana que se encuentren sin aplicar, Fonvivienda podrá proceder a su vencimiento sin que se requiera surtir previamente el proceso a que se refiere el parágrafo 1 del artículo 8 de la Ley 1537 de 2012.</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los recursos del Presupuesto General de la Nación asignados a Fonvivienda y que se incorporen a patrimonios autónomos en los cuales dicha entidad sea Fideicomitente, independiente del rubro presupuestal de los referidos recursos, podrán ser destinados para la construcción y/o dotación de equipamientos públicos colectivo y/o infraestructura de servicios públicos domiciliarios, incluida la adquisición de predios para esos propósitos, para los proyectos de vivienda de interés social y prioritaria que se ejecuten en el marco de los patrimonios autónomos. La entidad aportante de los recursos definirá los porcentajes de los recursos aportados que pueden ser destinados a estos propósitos.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Cuando la entidad otorgante de subsidios familiares de vivienda 100% en especie - SFVE advierta el acaecimiento de una causal para su restitución, de acuerdo con lo establecido en el artículo 21 de la Ley 1537 de 2012, adelantará un procedimiento administrativo para lograr la restitución formal del título de dominio del bien inmueble y, con el fin de lograr la restitución material, se podrán incoar las acciones policivas a que haya lugar, según los términos y condiciones dispuestos en la legislación vigente.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Sin perjuicio de lo anterior, una vez surtido el proceso administrativo, por virtud de la ley e independientemente del negocio jurídico suscrito para que el hogar beneficiario se convirtiera en propietario de la vivienda, la entidad otorgante del SFVE o los fideicomisos en los cuales esta sea fideicomitente, podrán convertirse en </w:t>
      </w:r>
      <w:r w:rsidRPr="003A174E">
        <w:rPr>
          <w:rFonts w:ascii="Georgia" w:hAnsi="Georgia"/>
          <w:i/>
          <w:sz w:val="24"/>
          <w:szCs w:val="24"/>
          <w:lang w:val="es-CO"/>
        </w:rPr>
        <w:lastRenderedPageBreak/>
        <w:t>titulares del derecho de dominio de las viviendas restituidas, para lo cual solo se requerirá la inscripción del acto administrativo correspondiente en el folio de matrícula inmobiliaria de la vivienda.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en virtud de acreditación emitida por autoridad competente, se determine que las viviendas han sido utilizadas como medio o instrumento para la ejecución de actividades ilícitas, podrán ser restituidas por parte de la entidad otorgante, para ser asignadas a otros hogares que se encuentren en las condiciones señaladas en el artículo 12 de la Ley 1537 de 2012, aún en el evento en que no se cuente con decisión judicial.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viviendas que sean objeto de restitución de acuerdo con lo establecido en el presente artículo podrán ser transferidas a Fonvivienda o a patrimonios autónomos constituidos por la entidad otorgante de los subsidios, hasta el momento en que sean transferidas a un nuevo hogar beneficiario.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el caso de solicitarse renuncias al Subsidio Familiar de Vivienda en Especie - SFVE, la restitución del título de dominio del bien inmueble procederá con la sola inscripción del acto administrativo que acepta la renuncia en el folio de matrícula inmobiliaria, sin ser necesaria la resciliación de la escritura pública de transferencia. En estos casos, el título de dominio se establecerá en la entidad otorgante del SFVE o los fideicomisos en las cuales ésta sea fideicomitente.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93</w:t>
      </w:r>
      <w:r w:rsidRPr="003A174E">
        <w:rPr>
          <w:rFonts w:ascii="Georgia" w:hAnsi="Georgia"/>
          <w:b/>
          <w:i/>
          <w:sz w:val="24"/>
          <w:szCs w:val="24"/>
          <w:lang w:val="es-CO"/>
        </w:rPr>
        <w:t>°. TRÁMITE DE REPARTO NOTARIAL</w:t>
      </w:r>
      <w:r w:rsidRPr="003A174E">
        <w:rPr>
          <w:rFonts w:ascii="Georgia" w:hAnsi="Georgia"/>
          <w:i/>
          <w:sz w:val="24"/>
          <w:szCs w:val="24"/>
          <w:lang w:val="es-CO"/>
        </w:rPr>
        <w:t>. Modifíquese el artículo 13 de la Ley 29 de 1973,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13. TRÁMITE DE REPARTO NOTARIAL. El trámite de reparto notarial para los actos que involucren la constitución de propiedad horizontal, constitución o levantamiento de gravámenes, adquisición o trasferencia del derecho de propiedad y adquisición o transferencia de inmuebles donde comparezcan las entidades financieras del Estado de orden nacional que otorguen o que otorgaron el crédito para la adquisición de vivienda, cuando en el círculo de que se trate haya más de una notaría, se asignaran equitativamente entre las que exista, de tal modo que la administración no establezca privilegios a favor de ningún notario.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serán responsables de dar cumplimiento al procedimiento y dar asignación de los actos de escrituración en el círculo notarial que corresponda en orden ascendente, teniendo en cuenta la ubicación de los mismos.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mecanismo mediante el cual se dará cumplimiento a lo anterior deberá ser auditado anualmente por un tercero independiente, con criterios de eficiencia y transparencia.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94</w:t>
      </w:r>
      <w:r w:rsidRPr="003A174E">
        <w:rPr>
          <w:rFonts w:ascii="Georgia" w:hAnsi="Georgia"/>
          <w:b/>
          <w:i/>
          <w:sz w:val="24"/>
          <w:szCs w:val="24"/>
          <w:lang w:val="es-CO"/>
        </w:rPr>
        <w:t xml:space="preserve">°. SEGURIDAD JURÍDICA EN EL ORDENAMIENTO TERRITORIAL. </w:t>
      </w:r>
      <w:r w:rsidRPr="003A174E">
        <w:rPr>
          <w:rFonts w:ascii="Georgia" w:hAnsi="Georgia"/>
          <w:i/>
          <w:sz w:val="24"/>
          <w:szCs w:val="24"/>
          <w:lang w:val="es-CO"/>
        </w:rPr>
        <w:t xml:space="preserve">El principio de seguridad jurídica deberá estar inmerso en las acciones y actuaciones urbanísticas, a fin de propender por la inversión y estabilidad a mediano y largo plazo del sector edificador.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otorgamiento de una licencia urbanística en cualquiera de sus modalidades crea derechos y obligaciones de carácter particular para el titular de la licencia, y de carácter colectivo para la comunidad en general y las entidades territoriales correspondientes.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los titulares de las licencias urbanísticas, el otorgamiento de una licencia reconoce derechos de construcción y desarrollo, ya sea parcelando, urbanizando o construyendo en los predios objeto de la misma; y, genera para su titular una serie de deberes en los términos y condiciones autorizados en el acto administrativo que la adopta.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los eventos en que la licencia urbanística comprenda obligaciones de cesión de áreas para espacio público, o construcción de equipamiento público, se entenderá que la licencia urbanística reconoce derechos colectivos al espacio público de las áreas de cesión que surgen como consecuencia del proyecto urbanístico licenciado y de las obras de infraestructura en servicios públicos y vías de la malla vial arterial que se ejecuten por efecto de la concesión de la licencia.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acto administrativo que adopte la concertación ambiental en el proceso de formulación de un plan parcial se sujetará a las determinantes ambientales incorporadas en el trámite de revisión o modificación de los planes de ordenamiento territorial.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SUBSECCIÓN 5</w:t>
      </w: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 LEGALIDAD EN MATERIA DE INFRAESTRUCTURA</w:t>
      </w:r>
    </w:p>
    <w:p w:rsidR="00EC45FF" w:rsidRPr="003A174E" w:rsidRDefault="00EC45FF" w:rsidP="00EC45FF">
      <w:pPr>
        <w:spacing w:afterLines="20" w:after="48" w:line="240" w:lineRule="auto"/>
        <w:jc w:val="center"/>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95</w:t>
      </w:r>
      <w:r w:rsidRPr="003A174E">
        <w:rPr>
          <w:rFonts w:ascii="Georgia" w:hAnsi="Georgia"/>
          <w:b/>
          <w:i/>
          <w:sz w:val="24"/>
          <w:szCs w:val="24"/>
          <w:lang w:val="es-CO"/>
        </w:rPr>
        <w:t>º. FONDO DE CONTINGENCIAS Y TRASLADOS</w:t>
      </w:r>
      <w:r w:rsidRPr="003A174E">
        <w:rPr>
          <w:rFonts w:ascii="Georgia" w:hAnsi="Georgia"/>
          <w:i/>
          <w:sz w:val="24"/>
          <w:szCs w:val="24"/>
          <w:lang w:val="es-CO"/>
        </w:rPr>
        <w:t>. Modifíquese el artículo 35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35. FONDO DE CONTINGENCIAS Y TRASLADOS. El Fondo de Contingencias de las Entidades Estatales creado por la Ley 448 de 1998 es el mecanismo de primera instancia autorizado para atender el pago de las obligaciones contingentes que contraigan las entidades sometidas al régimen obligatorio de contingencias contractuales del Estado, en cuanto se trate de riesgos comprendidos por este Fondo. Lo anterior sin perjuicio de la aplicación de los mecanismos alternativos para la atención de las obligaciones contingentes, de acuerdo con los lineamientos que para el efecto defina el Ministerio de Hacienda y Crédito Público, los cuales podrán contemplar la posibilidad de que dichos mecanismos se pacten contractualmente.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xml:space="preserve"> Las obligaciones contingentes que son atendidas por el Fondo mantendrán su naturaleza y condición de contingentes, siempre y cuando estén aprobadas en el respectivo plan de aportes y hasta el monto estipulado en este, sin que su cobertura quede condicionada al momento de la realización de los aportes al Fondo.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Así mismo, con cargo a los recursos del Fondo de Contingencias se podrán atender los intereses asociados a las obligaciones contingentes, exclusivamente dentro de los plazos establecidos en cada contrato. Se podrán cubrir con plazos adicionales las contingencias que se presenten en las concesiones viales de cuarta generación 4G.</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La entidad que administre el Fondo de Contingencias de las Entidades Estatales podrá, previa solicitud de la entidad aportante, transferir recursos de uno a otro riesgo del mismo u otro proyecto de la misma entidad, con la finalidad de atender las obligaciones contingentes amparadas. Dicha transferencia deberá contar con la aprobación previa del plan de aportes por parte de la Dirección General de Crédito Público y Tesoro Nacional del Ministerio de Hacienda y Crédito Público, siempre y cuando cumpla los siguientes requisitos: (i) cuando la entidad aportante determine a través del seguimiento que el riesgo ha disminuido totalmente, caso en el que el valor a transferir será el 100% del saldo de la subcuenta; o (ii) cuando la entidad aportante determine a través del seguimiento que el riesgo ha disminuido parcialmente, caso en el cual el valor a transferir será el exceso del saldo en la subcuenta.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96</w:t>
      </w:r>
      <w:r w:rsidRPr="003A174E">
        <w:rPr>
          <w:rFonts w:ascii="Georgia" w:hAnsi="Georgia"/>
          <w:b/>
          <w:i/>
          <w:sz w:val="24"/>
          <w:szCs w:val="24"/>
          <w:lang w:val="es-CO"/>
        </w:rPr>
        <w:t>º. FONDO DE CONTINGENCIAS DE LAS ENTIDADES ESTATALES</w:t>
      </w:r>
      <w:r w:rsidRPr="003A174E">
        <w:rPr>
          <w:rFonts w:ascii="Georgia" w:hAnsi="Georgia"/>
          <w:i/>
          <w:sz w:val="24"/>
          <w:szCs w:val="24"/>
          <w:lang w:val="es-CO"/>
        </w:rPr>
        <w:t>. Modifíquese el artículo 2 de la Ley 448 de 1998,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ARTICULO 2. FONDO DE CONTINGENCIAS DE LAS ENTIDADES ESTATALES. El Fondo de Contingencias de las Entidades Estatales es una cuenta especial sin personería jurídica administrada por el Ministerio de Hacienda y Crédito Público. Los recursos, así como los asuntos relacionados con pasivos del Fondo, serán administrados por la Dirección General de Crédito Público y Tesoro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97</w:t>
      </w:r>
      <w:r w:rsidRPr="003A174E">
        <w:rPr>
          <w:rFonts w:ascii="Georgia" w:hAnsi="Georgia"/>
          <w:b/>
          <w:i/>
          <w:sz w:val="24"/>
          <w:szCs w:val="24"/>
          <w:lang w:val="es-CO"/>
        </w:rPr>
        <w:t>º. APROBACIÓN Y SEGUIMIENTO DE LA VALORACIÓN DE LAS CONTINGENCIAS</w:t>
      </w:r>
      <w:r w:rsidRPr="003A174E">
        <w:rPr>
          <w:rFonts w:ascii="Georgia" w:hAnsi="Georgia"/>
          <w:i/>
          <w:sz w:val="24"/>
          <w:szCs w:val="24"/>
          <w:lang w:val="es-CO"/>
        </w:rPr>
        <w:t xml:space="preserve">. Adiciónese un parágrafo al artículo 6 de la Ley 448 de 1998,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entidades territoriales y sus descentralizadas deberán crear su propio fondo de contingencias; para tal efecto determinarán las metodologías de valoración según el tipo de pasivo contingente previsto en el artículo 3 de la Ley 819 de 2003, las condiciones de cada entidad y deberán incluir en sus presupuestos de servicio de deuda, las apropiaciones necesarias. Los aportes realizados al Fondo se entenderán ejecutados una vez transferidos al mismo y sólo podrán ser </w:t>
      </w:r>
      <w:r w:rsidRPr="003A174E">
        <w:rPr>
          <w:rFonts w:ascii="Georgia" w:hAnsi="Georgia"/>
          <w:i/>
          <w:sz w:val="24"/>
          <w:szCs w:val="24"/>
          <w:lang w:val="es-CO"/>
        </w:rPr>
        <w:lastRenderedPageBreak/>
        <w:t xml:space="preserve">reembolsados al presupuesto de la entidad aportante como recursos de capital cuando se verifique en forma definitiva la no realización de los riesgos previstos.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aprobación y seguimiento de las valoraciones de las que trata el presente parágrafo solamente se efectuarán por parte de la Dirección General de Crédito Público y Tesoro Nacional cuando los aportes al fondo de contingencias de las entidades estatales se deriven de contingencias relacionadas con riesgos contractuales, providencias que impongan condenas o aprueben conciliaciones, y garantías, en los casos en los que se cuente con participación de recursos públicos de orden nacional y/o haya asunción de obligaciones contingentes por parte de la Nación o las entidades descentralizadas del orden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98</w:t>
      </w:r>
      <w:r w:rsidRPr="003A174E">
        <w:rPr>
          <w:rFonts w:ascii="Georgia" w:hAnsi="Georgia"/>
          <w:b/>
          <w:i/>
          <w:sz w:val="24"/>
          <w:szCs w:val="24"/>
          <w:lang w:val="es-CO"/>
        </w:rPr>
        <w:t>º. BIENES INMUEBLES FISCALES</w:t>
      </w:r>
      <w:r w:rsidRPr="003A174E">
        <w:rPr>
          <w:rFonts w:ascii="Georgia" w:hAnsi="Georgia"/>
          <w:i/>
          <w:sz w:val="24"/>
          <w:szCs w:val="24"/>
          <w:lang w:val="es-CO"/>
        </w:rPr>
        <w:t>. Los bienes inmuebles fiscales de propiedad de entidades públicas del orden nacional y territorial podrán utilizarse como medio de pago, garantía o fuente de financiación para adelantar la formulación, estructuración y ejecución de proyectos inmobiliarios que tengan como propósito o consecuencia resolver necesidades en materia de infraestructura para sedes administrativas, o misionales de entidades públicas, incluyendo instalaciones militares y carcelarias, así como de defensa y seguridad del Estado, y en consecuencia se entenderá que los respectivos inmuebles se requieren para el ejercicio de sus funciones.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los proyectos inmobiliarios que se adelanten para resolver necesidades del sector defensa, y se desarrollen a través de otros organismos del Presupuesto General de la Nación, que involucren o no mecanismos como la fiducia mercantil, podrán diseñarse procesos de selección de contratistas entre aspirantes a contratar que cuenten con el respaldo de países con los cuales el Ministerio de Defensa Nacional hubiere firmado acuerdos o convenios. Los contratos que se celebren con el alcance descrito en este inciso son de defensa y seguridad del Estado para todos los efectos y en especial para lo dispuesto en el artículo 33 de la Ley 996 de 2005, o la norma que lo modifique, adicione o sustituya.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Si los proyectos a que se refiere este artículo son encargados para su ejecución a un particular, la remuneración, total o parcial podrá hacerse con los aportes, en dinero o en especie, según el mecanismo jurídico diseñado para tal fin.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Defensa Nacional y la Policía Nacional podrán suscribir convenios con entidades públicas o privadas que les permitan recibir aportes para fortalecer las capacidades de la Fuerza Pública en áreas en donde se concentre la infraestructura crítica, productiva y de desarrollo.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ARTÍCULO </w:t>
      </w:r>
      <w:r>
        <w:rPr>
          <w:rFonts w:ascii="Georgia" w:hAnsi="Georgia"/>
          <w:b/>
          <w:i/>
          <w:sz w:val="24"/>
          <w:szCs w:val="24"/>
          <w:lang w:val="es-CO"/>
        </w:rPr>
        <w:t>99</w:t>
      </w:r>
      <w:r w:rsidRPr="003A174E">
        <w:rPr>
          <w:rFonts w:ascii="Georgia" w:hAnsi="Georgia"/>
          <w:b/>
          <w:i/>
          <w:sz w:val="24"/>
          <w:szCs w:val="24"/>
          <w:lang w:val="es-CO"/>
        </w:rPr>
        <w:t>º. ESTRUCTURACIÓN DE PROYECTOS POR PARTE DE LA AGENCIA NACIONAL INMOBILIARIA “VIRGILIO BARCO VARGAS”</w:t>
      </w:r>
      <w:r w:rsidRPr="003A174E">
        <w:rPr>
          <w:rFonts w:ascii="Georgia" w:hAnsi="Georgia"/>
          <w:i/>
          <w:sz w:val="24"/>
          <w:szCs w:val="24"/>
          <w:lang w:val="es-CO"/>
        </w:rPr>
        <w:t xml:space="preserve">. La estructuración y ejecución de los proyectos inmobiliarios que lleve a cabo la Agencia Nacional Inmobiliaria “Virgilio Barco Vargas”, se podrá realizar sin </w:t>
      </w:r>
      <w:r w:rsidRPr="003A174E">
        <w:rPr>
          <w:rFonts w:ascii="Georgia" w:hAnsi="Georgia"/>
          <w:i/>
          <w:sz w:val="24"/>
          <w:szCs w:val="24"/>
          <w:lang w:val="es-CO"/>
        </w:rPr>
        <w:lastRenderedPageBreak/>
        <w:t>requerir desembolso de recursos públicos y de acuerdo con la normativa aplicable al mecanismo fiduciario utilizado por la Agencia, como si se tratara de una asociación público-privada de iniciativa privada.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se generen en los proyectos inmobiliarios que se desarrollan mediante contratos de fiducia mercantil, provenientes del intercambio u operación predial que realice la Agencia Nacional Inmobiliaria “Virgilio Barco Vargas”, así como del ejercicio de su actividad, harán parte de los proyectos que se adelanten por este mecanismo y se ejecutarán y administrarán a través de los respectivos patrimonios autónomos, sin operación presupuestal alguna por parte de la Agencia.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color w:val="000000"/>
          <w:sz w:val="24"/>
          <w:szCs w:val="24"/>
          <w:lang w:val="es-ES_tradnl"/>
        </w:rPr>
        <w:t>ARTÍCULO 100</w:t>
      </w:r>
      <w:r w:rsidRPr="003A174E">
        <w:rPr>
          <w:rFonts w:ascii="Georgia" w:hAnsi="Georgia"/>
          <w:b/>
          <w:i/>
          <w:color w:val="000000"/>
          <w:sz w:val="24"/>
          <w:szCs w:val="24"/>
          <w:lang w:val="es-ES_tradnl"/>
        </w:rPr>
        <w:t xml:space="preserve">º (NUEVO). INFRAESTRUCTURA INMOBILIARIA PARA LA ADMINISTRACIÓN PÚBLICA. </w:t>
      </w:r>
      <w:r w:rsidRPr="003A174E">
        <w:rPr>
          <w:rFonts w:ascii="Georgia" w:hAnsi="Georgia"/>
          <w:i/>
          <w:color w:val="000000"/>
          <w:sz w:val="24"/>
          <w:szCs w:val="24"/>
          <w:lang w:val="es-ES_tradnl"/>
        </w:rPr>
        <w:t>La Agencia Nacional Inmobiliaria Virgilio Barco Vargas, en desarrollo de su objeto de construir o gestionar, mediante Asociaciones Público Privadas o contratación de obras, inmuebles destinados a entidades oficiales del orden nacional o territorial y a otros usos complementarios que pueda tener el mismo proyecto, podrá suscribir contratos de tracto sucesivo ya sea de arrendamiento o con cualquier otro compromiso contractual, por el mismo plazo que la Asociación Público Privada o vehículo contractual de ejecución del proyecto inmobiliario requiera para la financiación del mismo y recuperación de la inversión antes de la reversión del inmueble a la misma Agencia cuando a ello hubiere lugar.</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Pr>
          <w:rFonts w:ascii="Georgia" w:hAnsi="Georgia"/>
          <w:b/>
          <w:i/>
          <w:color w:val="000000"/>
          <w:sz w:val="24"/>
          <w:szCs w:val="24"/>
          <w:lang w:val="es-ES_tradnl"/>
        </w:rPr>
        <w:t>ARTÍCULO 101</w:t>
      </w:r>
      <w:r w:rsidRPr="003A174E">
        <w:rPr>
          <w:rFonts w:ascii="Georgia" w:hAnsi="Georgia"/>
          <w:b/>
          <w:i/>
          <w:color w:val="000000"/>
          <w:sz w:val="24"/>
          <w:szCs w:val="24"/>
          <w:lang w:val="es-ES_tradnl"/>
        </w:rPr>
        <w:t xml:space="preserve">º (NUEVO). VIGENCIAS FUTURAS AGENCIA NACIONAL INMOBILIARIA VIRGILIO BARCO VARGAS. </w:t>
      </w:r>
      <w:r w:rsidRPr="003A174E">
        <w:rPr>
          <w:rFonts w:ascii="Georgia" w:hAnsi="Georgia"/>
          <w:i/>
          <w:color w:val="000000"/>
          <w:sz w:val="24"/>
          <w:szCs w:val="24"/>
          <w:lang w:val="es-ES_tradnl"/>
        </w:rPr>
        <w:t>La autorización de compromisos de vigencias futuras de cualquier naturaleza para atender gastos de proyectos en que participa la Agencia Nacional Inmobiliaria Virgilio Barco Vargas, no estará sujeta al límite de autorizaciones para comprometer vigencias futuras.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102</w:t>
      </w:r>
      <w:r w:rsidRPr="003A174E">
        <w:rPr>
          <w:rFonts w:ascii="Georgia" w:hAnsi="Georgia"/>
          <w:b/>
          <w:i/>
          <w:sz w:val="24"/>
          <w:szCs w:val="24"/>
          <w:lang w:val="es-CO"/>
        </w:rPr>
        <w:t>°.</w:t>
      </w:r>
      <w:r w:rsidRPr="003A174E">
        <w:rPr>
          <w:rFonts w:ascii="Georgia" w:hAnsi="Georgia"/>
          <w:i/>
          <w:sz w:val="24"/>
          <w:szCs w:val="24"/>
          <w:lang w:val="es-CO"/>
        </w:rPr>
        <w:t xml:space="preserve"> </w:t>
      </w:r>
      <w:r w:rsidRPr="003A174E">
        <w:rPr>
          <w:rFonts w:ascii="Georgia" w:hAnsi="Georgia"/>
          <w:b/>
          <w:i/>
          <w:sz w:val="24"/>
          <w:szCs w:val="24"/>
          <w:lang w:val="es-CO"/>
        </w:rPr>
        <w:t>FORTALECIMIENTO DE LA INFRAESTRUCTURA FÍSICA DE LAS ENTIDADES DEL ESTADO</w:t>
      </w:r>
      <w:r w:rsidRPr="003A174E">
        <w:rPr>
          <w:rFonts w:ascii="Georgia" w:hAnsi="Georgia"/>
          <w:i/>
          <w:sz w:val="24"/>
          <w:szCs w:val="24"/>
          <w:lang w:val="es-CO"/>
        </w:rPr>
        <w:t xml:space="preserve">. Con el propósito de modernizar, tecnificar y consolidar la institucionalidad de las entidades públicas, el Gobierno nacional podrá apropiar recursos para que dentro del Plan Plurianual de Inversiones y con cargo al Presupuesto General de la Nación, a partir de la vigencia de la presente Ley se corrija la deficiencia en la capacidad de la infraestructura física de las instalaciones.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concurrencia con los recursos que aporte el sector público del orden nacional, también se tendrán como fuente los procedentes del sector privado en alianza con Asociaciones Público – Privadas y los de cooperación internacional, con el objetivo de lograr la eficiencia en las inversiones.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103</w:t>
      </w:r>
      <w:r w:rsidRPr="003A174E">
        <w:rPr>
          <w:rFonts w:ascii="Georgia" w:hAnsi="Georgia"/>
          <w:b/>
          <w:i/>
          <w:sz w:val="24"/>
          <w:szCs w:val="24"/>
          <w:lang w:val="es-CO"/>
        </w:rPr>
        <w:t>º. PLANES DE MOVILIDAD SOSTENIBLE Y SEGURA PARA MUNICIPIOS, DISTRITOS Y ÁREAS METROPOLITANAS</w:t>
      </w:r>
      <w:r w:rsidRPr="003A174E">
        <w:rPr>
          <w:rFonts w:ascii="Georgia" w:hAnsi="Georgia"/>
          <w:i/>
          <w:sz w:val="24"/>
          <w:szCs w:val="24"/>
          <w:lang w:val="es-CO"/>
        </w:rPr>
        <w:t xml:space="preserve">. Modifíquese el artículo 1 de la Ley 1083 de 2006,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 PLANES DE MOVILIDAD SOSTENIBLE Y SEGURA PARA MUNICIPIOS, DISTRITOS Y ÁREAS METROPOLITANAS. Los municipios y distritos que deben adoptar planes de ordenamiento territorial en los términos del literal a) del artículo 9 de la Ley 388 de 1997, formularán, adoptarán y ejecutarán planes de movilidad. Los planes de movilidad sostenible y segura darán prelación a los medios de transporte no motorizados (peatón y bicicleta) y al transporte público con energéticos y tecnologías de bajas o cero emisiones.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todo caso, los planes de movilidad deberán determinar objetivos y metas de movilidad sostenible, articulados con los respectivos planes de ordenamiento territorial, cuyo total cumplimiento deberá garantizarse mediante la formulación y ejecución de estrategias, programas y proyectos.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Cualquier municipio que esté fuera de esta obligación podrá formular, adoptar y ejecutar su plan de movilidad en el marco de los objetivos y metas de movilidad sostenible y segura, en especial capitales departamentales, municipios con nodos de comercio exterior, con intensidad turística, o con altos índices de contaminación o siniestralidad.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áreas metropolitanas definidas por el artículo 319 de la Constitución Política de Colombia y que se encuentren legalmente conformadas, deberán formular, adoptar y ejecutar planes de movilidad sobre la totalidad del territorio de los municipios que la conforman. Los planes de movilidad metropolitanos deberán formularse, adoptarse y ejecutarse con los mismos parámetros definidos para los municipios y distritos; así mismo, deberán garantizar concordancia con el nivel de prevalencia tanto de los planes integrales de desarrollo metropolitano como de los planes estratégicos de ordenamiento territorial metropolitano definidos por la Ley 1625 de 2013, que le corresponda a cada área metropolitana.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contenidos de los planes de desarrollo municipal y distrital de que trata la Ley 152 de 1994, deben armonizarse con los objetivos y metas de los planes de movilidad.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municipios y distritos que integran y hacen parte del territorio de un área metropolitana, deben armonizar igualmente sus planes de desarrollo con el plan de movilidad de la respectiva área metropolitana, en los términos del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formulación de los planes de movilidad sostenible y segura deberá enmarcarse en la estrategia para la implementación de los Objetivos de Desarrollo Sostenible en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El Ministerio de Minas y Energía y el Ministerio de Ambiente y Desarrollo Sostenible, dentro de los seis (6) meses siguientes a la promulgación de esta ley, establecerá mediante reglamentación la definición de energéticos de bajas o cero emisiones, teniendo como criterio fundamental su contenido de componentes nocivos para la salud y el medio ambiente. El Ministerio de Transporte y el Ministerio de Ambiente y Desarrollo Sostenible expedirán la reglamentación de tecnologías vehiculares de bajas o cero emisiones. Las definiciones y reglamentaciones deberán ser actualizadas de manera cuatrienal considerando los constantes avances en los energéticos y en las tecnologías.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lang w:val="es-CO"/>
        </w:rPr>
        <w:t>ARTÍCULO 104</w:t>
      </w:r>
      <w:r w:rsidRPr="003A174E">
        <w:rPr>
          <w:rFonts w:ascii="Georgia" w:hAnsi="Georgia"/>
          <w:b/>
          <w:i/>
          <w:sz w:val="24"/>
          <w:szCs w:val="24"/>
          <w:lang w:val="es-CO"/>
        </w:rPr>
        <w:t>º. TRANSPORTE DE CARACTERÍSTICAS URBANAS PARA LA MOVILIDAD ENTRE MUNICIPIOS</w:t>
      </w:r>
      <w:r w:rsidRPr="003A174E">
        <w:rPr>
          <w:rFonts w:ascii="Georgia" w:hAnsi="Georgia"/>
          <w:i/>
          <w:sz w:val="24"/>
          <w:szCs w:val="24"/>
          <w:lang w:val="es-CO"/>
        </w:rPr>
        <w:t xml:space="preserve">. </w:t>
      </w:r>
      <w:r w:rsidRPr="003A174E">
        <w:rPr>
          <w:rFonts w:ascii="Georgia" w:hAnsi="Georgia"/>
          <w:i/>
          <w:sz w:val="24"/>
          <w:szCs w:val="24"/>
        </w:rPr>
        <w:t>En aquellos municipios conurbados o colindantes</w:t>
      </w:r>
      <w:r w:rsidRPr="003A174E">
        <w:rPr>
          <w:rFonts w:ascii="Georgia" w:hAnsi="Georgia"/>
          <w:i/>
          <w:sz w:val="24"/>
          <w:szCs w:val="24"/>
          <w:lang w:val="es-ES"/>
        </w:rPr>
        <w:t>,</w:t>
      </w:r>
      <w:r w:rsidRPr="003A174E">
        <w:rPr>
          <w:rFonts w:ascii="Georgia" w:hAnsi="Georgia"/>
          <w:i/>
          <w:sz w:val="24"/>
          <w:szCs w:val="24"/>
        </w:rPr>
        <w:t xml:space="preserve"> donde la movilidad se desarrolle bajo condiciones y características propias del transporte urbano más allá de sus propios límites jurisdiccionales, únicamente aquellos viajes intermunicipales de corta distancia, las autoridades territoriales podrán acordar mecanismos de organización entre los mismos a través de convenios interadministrativos</w:t>
      </w:r>
      <w:r w:rsidRPr="003A174E">
        <w:rPr>
          <w:rFonts w:ascii="Georgia" w:hAnsi="Georgia"/>
          <w:i/>
          <w:sz w:val="24"/>
          <w:szCs w:val="24"/>
          <w:lang w:val="es-ES"/>
        </w:rPr>
        <w:t>,</w:t>
      </w:r>
      <w:r w:rsidRPr="003A174E">
        <w:rPr>
          <w:rFonts w:ascii="Georgia" w:hAnsi="Georgia"/>
          <w:i/>
          <w:sz w:val="24"/>
          <w:szCs w:val="24"/>
        </w:rPr>
        <w:t xml:space="preserve"> que permitan optimizar la prestación del servicio público de transporte entre esos municipios o distritos.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Para tal efecto</w:t>
      </w:r>
      <w:r w:rsidRPr="003A174E">
        <w:rPr>
          <w:rFonts w:ascii="Georgia" w:hAnsi="Georgia"/>
          <w:i/>
          <w:sz w:val="24"/>
          <w:szCs w:val="24"/>
          <w:lang w:val="es-ES"/>
        </w:rPr>
        <w:t>,</w:t>
      </w:r>
      <w:r w:rsidRPr="003A174E">
        <w:rPr>
          <w:rFonts w:ascii="Georgia" w:hAnsi="Georgia"/>
          <w:i/>
          <w:sz w:val="24"/>
          <w:szCs w:val="24"/>
        </w:rPr>
        <w:t xml:space="preserve"> el Ministerio de Transporte reglamentará las condiciones y requisitos mínimos que permitan calificar a la movilidad entre los municipios como de características de transporte urbano, así como las condiciones para la suscripción de los convenios y la aprobación de estos.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A partir de la suscripción y aprobación del convenio interadministrativo las autoridades municipales, distritales o metropolitanas, podrán conformar una </w:t>
      </w:r>
      <w:r w:rsidRPr="003A174E">
        <w:rPr>
          <w:rFonts w:ascii="Georgia" w:hAnsi="Georgia"/>
          <w:i/>
          <w:sz w:val="24"/>
          <w:szCs w:val="24"/>
          <w:lang w:val="es-ES"/>
        </w:rPr>
        <w:t>A</w:t>
      </w:r>
      <w:r w:rsidRPr="003A174E">
        <w:rPr>
          <w:rFonts w:ascii="Georgia" w:hAnsi="Georgia"/>
          <w:i/>
          <w:sz w:val="24"/>
          <w:szCs w:val="24"/>
        </w:rPr>
        <w:t xml:space="preserve">utoridad </w:t>
      </w:r>
      <w:r w:rsidRPr="003A174E">
        <w:rPr>
          <w:rFonts w:ascii="Georgia" w:hAnsi="Georgia"/>
          <w:i/>
          <w:sz w:val="24"/>
          <w:szCs w:val="24"/>
          <w:lang w:val="es-ES"/>
        </w:rPr>
        <w:t xml:space="preserve">Regional </w:t>
      </w:r>
      <w:r w:rsidRPr="003A174E">
        <w:rPr>
          <w:rFonts w:ascii="Georgia" w:hAnsi="Georgia"/>
          <w:i/>
          <w:sz w:val="24"/>
          <w:szCs w:val="24"/>
        </w:rPr>
        <w:t xml:space="preserve">de </w:t>
      </w:r>
      <w:r w:rsidRPr="003A174E">
        <w:rPr>
          <w:rFonts w:ascii="Georgia" w:hAnsi="Georgia"/>
          <w:i/>
          <w:sz w:val="24"/>
          <w:szCs w:val="24"/>
          <w:lang w:val="es-ES"/>
        </w:rPr>
        <w:t>T</w:t>
      </w:r>
      <w:r w:rsidRPr="003A174E">
        <w:rPr>
          <w:rFonts w:ascii="Georgia" w:hAnsi="Georgia"/>
          <w:i/>
          <w:sz w:val="24"/>
          <w:szCs w:val="24"/>
        </w:rPr>
        <w:t>ra</w:t>
      </w:r>
      <w:r w:rsidRPr="003A174E">
        <w:rPr>
          <w:rFonts w:ascii="Georgia" w:hAnsi="Georgia"/>
          <w:i/>
          <w:sz w:val="24"/>
          <w:szCs w:val="24"/>
          <w:lang w:val="es-ES"/>
        </w:rPr>
        <w:t>ns</w:t>
      </w:r>
      <w:r w:rsidRPr="003A174E">
        <w:rPr>
          <w:rFonts w:ascii="Georgia" w:hAnsi="Georgia"/>
          <w:i/>
          <w:sz w:val="24"/>
          <w:szCs w:val="24"/>
        </w:rPr>
        <w:t>porte o de</w:t>
      </w:r>
      <w:r w:rsidRPr="003A174E">
        <w:rPr>
          <w:rFonts w:ascii="Georgia" w:hAnsi="Georgia"/>
          <w:i/>
          <w:sz w:val="24"/>
          <w:szCs w:val="24"/>
          <w:lang w:val="es-ES"/>
        </w:rPr>
        <w:t>finir</w:t>
      </w:r>
      <w:r w:rsidRPr="003A174E">
        <w:rPr>
          <w:rFonts w:ascii="Georgia" w:hAnsi="Georgia"/>
          <w:i/>
          <w:sz w:val="24"/>
          <w:szCs w:val="24"/>
        </w:rPr>
        <w:t xml:space="preserve"> quien de ellas la ejercerá conforme a las facultades, lineamientos y límites que establezca el Ministerio de Transporte y será la encargada de asumir las competencias en materia de transporte de las entidades territoriales que la conforman para el corredor o área de la competencia únicamente dentro de</w:t>
      </w:r>
      <w:r w:rsidRPr="003A174E">
        <w:rPr>
          <w:rFonts w:ascii="Georgia" w:hAnsi="Georgia"/>
          <w:i/>
          <w:sz w:val="24"/>
          <w:szCs w:val="24"/>
          <w:lang w:val="es-ES"/>
        </w:rPr>
        <w:t xml:space="preserve"> </w:t>
      </w:r>
      <w:r w:rsidRPr="003A174E">
        <w:rPr>
          <w:rFonts w:ascii="Georgia" w:hAnsi="Georgia"/>
          <w:i/>
          <w:sz w:val="24"/>
          <w:szCs w:val="24"/>
        </w:rPr>
        <w:t>los municipios conurbado</w:t>
      </w:r>
      <w:r w:rsidRPr="003A174E">
        <w:rPr>
          <w:rFonts w:ascii="Georgia" w:hAnsi="Georgia"/>
          <w:i/>
          <w:sz w:val="24"/>
          <w:szCs w:val="24"/>
          <w:lang w:val="es-ES"/>
        </w:rPr>
        <w:t>s</w:t>
      </w:r>
      <w:r w:rsidRPr="003A174E">
        <w:rPr>
          <w:rFonts w:ascii="Georgia" w:hAnsi="Georgia"/>
          <w:i/>
          <w:sz w:val="24"/>
          <w:szCs w:val="24"/>
        </w:rPr>
        <w:t xml:space="preserve"> o colindantes que conformen la autoridad, de manera que facilite la accesibilidad y a</w:t>
      </w:r>
      <w:r w:rsidRPr="003A174E">
        <w:rPr>
          <w:rFonts w:ascii="Georgia" w:hAnsi="Georgia"/>
          <w:i/>
          <w:sz w:val="24"/>
          <w:szCs w:val="24"/>
          <w:lang w:val="es-ES"/>
        </w:rPr>
        <w:t>s</w:t>
      </w:r>
      <w:r w:rsidRPr="003A174E">
        <w:rPr>
          <w:rFonts w:ascii="Georgia" w:hAnsi="Georgia"/>
          <w:i/>
          <w:sz w:val="24"/>
          <w:szCs w:val="24"/>
        </w:rPr>
        <w:t xml:space="preserve">equibilidad de los usuarios. La conformación de la </w:t>
      </w:r>
      <w:r w:rsidRPr="003A174E">
        <w:rPr>
          <w:rFonts w:ascii="Georgia" w:hAnsi="Georgia"/>
          <w:i/>
          <w:sz w:val="24"/>
          <w:szCs w:val="24"/>
          <w:lang w:val="es-ES"/>
        </w:rPr>
        <w:t>A</w:t>
      </w:r>
      <w:r w:rsidRPr="003A174E">
        <w:rPr>
          <w:rFonts w:ascii="Georgia" w:hAnsi="Georgia"/>
          <w:i/>
          <w:sz w:val="24"/>
          <w:szCs w:val="24"/>
        </w:rPr>
        <w:t xml:space="preserve">utoridad </w:t>
      </w:r>
      <w:r w:rsidRPr="003A174E">
        <w:rPr>
          <w:rFonts w:ascii="Georgia" w:hAnsi="Georgia"/>
          <w:i/>
          <w:sz w:val="24"/>
          <w:szCs w:val="24"/>
          <w:lang w:val="es-ES"/>
        </w:rPr>
        <w:t>R</w:t>
      </w:r>
      <w:r w:rsidRPr="003A174E">
        <w:rPr>
          <w:rFonts w:ascii="Georgia" w:hAnsi="Georgia"/>
          <w:i/>
          <w:sz w:val="24"/>
          <w:szCs w:val="24"/>
        </w:rPr>
        <w:t xml:space="preserve">egional de </w:t>
      </w:r>
      <w:r w:rsidRPr="003A174E">
        <w:rPr>
          <w:rFonts w:ascii="Georgia" w:hAnsi="Georgia"/>
          <w:i/>
          <w:sz w:val="24"/>
          <w:szCs w:val="24"/>
          <w:lang w:val="es-ES"/>
        </w:rPr>
        <w:t>T</w:t>
      </w:r>
      <w:r w:rsidRPr="003A174E">
        <w:rPr>
          <w:rFonts w:ascii="Georgia" w:hAnsi="Georgia"/>
          <w:i/>
          <w:sz w:val="24"/>
          <w:szCs w:val="24"/>
        </w:rPr>
        <w:t>ransporte estará sujeta a la definición de transporte intermunicipal de corta distancia.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El Ministerio de Transporte podrá ceder las competencias en materia de transporte intermunicipal a la Autoridad Regional de Transporte.</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Las autoridades territoriales definirán de común acuerdo las directrices de ordenamiento regional en concordancia con los instrumentos normativos existentes, con el fin de contar con un marco de acción que contemple estrategias regionales integrales que permitan formular, a su vez, las propuestas de movilidad regional que deberán ser desarrrolladas por la Autoridad Regional de Transporte.</w:t>
      </w: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lastRenderedPageBreak/>
        <w:t>La inspección, vigilancia y control de las autoridades regionales de transporte, estará a cargo dela Superintendencia de Transporte.</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La Jurisdicción del</w:t>
      </w:r>
      <w:r w:rsidRPr="003A174E">
        <w:rPr>
          <w:rFonts w:ascii="Georgia" w:hAnsi="Georgia"/>
          <w:i/>
          <w:sz w:val="24"/>
          <w:szCs w:val="24"/>
          <w:lang w:val="es-ES"/>
        </w:rPr>
        <w:t xml:space="preserve"> Á</w:t>
      </w:r>
      <w:r w:rsidRPr="003A174E">
        <w:rPr>
          <w:rFonts w:ascii="Georgia" w:hAnsi="Georgia"/>
          <w:i/>
          <w:sz w:val="24"/>
          <w:szCs w:val="24"/>
        </w:rPr>
        <w:t xml:space="preserve">rea </w:t>
      </w:r>
      <w:r w:rsidRPr="003A174E">
        <w:rPr>
          <w:rFonts w:ascii="Georgia" w:hAnsi="Georgia"/>
          <w:i/>
          <w:sz w:val="24"/>
          <w:szCs w:val="24"/>
          <w:lang w:val="es-ES"/>
        </w:rPr>
        <w:t>M</w:t>
      </w:r>
      <w:r w:rsidRPr="003A174E">
        <w:rPr>
          <w:rFonts w:ascii="Georgia" w:hAnsi="Georgia"/>
          <w:i/>
          <w:sz w:val="24"/>
          <w:szCs w:val="24"/>
        </w:rPr>
        <w:t>etropolitana constituida o por constituir conforme a la ley, corresponderá a la totalidad del territorio de los municipios que la conforman, en consecuencia, a estas automaticamente se le dará el traslado de las competenias respectivas de las autoridades municipales o distritales que la co</w:t>
      </w:r>
      <w:r w:rsidRPr="003A174E">
        <w:rPr>
          <w:rFonts w:ascii="Georgia" w:hAnsi="Georgia"/>
          <w:i/>
          <w:sz w:val="24"/>
          <w:szCs w:val="24"/>
          <w:lang w:val="es-ES"/>
        </w:rPr>
        <w:t>mponen</w:t>
      </w:r>
      <w:r w:rsidRPr="003A174E">
        <w:rPr>
          <w:rFonts w:ascii="Georgia" w:hAnsi="Georgia"/>
          <w:i/>
          <w:sz w:val="24"/>
          <w:szCs w:val="24"/>
        </w:rPr>
        <w:t>, a fin de que exista una única autoridad en materia de transporte para la totalidad de dicha jurisdicción.</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Pr>
          <w:rFonts w:ascii="Georgia" w:hAnsi="Georgia"/>
          <w:b/>
          <w:i/>
          <w:color w:val="000000" w:themeColor="text1"/>
          <w:sz w:val="24"/>
          <w:szCs w:val="24"/>
          <w:lang w:val="es-CO"/>
        </w:rPr>
        <w:t>ARTÍCULO 105</w:t>
      </w:r>
      <w:r w:rsidRPr="003A174E">
        <w:rPr>
          <w:rFonts w:ascii="Georgia" w:hAnsi="Georgia"/>
          <w:b/>
          <w:i/>
          <w:color w:val="000000" w:themeColor="text1"/>
          <w:sz w:val="24"/>
          <w:szCs w:val="24"/>
          <w:lang w:val="es-CO"/>
        </w:rPr>
        <w:t>º. OTRAS FUENTES DE FINANCIACIÓN PARA LOS SISTEMAS DE TRANSPORTE</w:t>
      </w:r>
      <w:r w:rsidRPr="003A174E">
        <w:rPr>
          <w:rFonts w:ascii="Georgia" w:hAnsi="Georgia"/>
          <w:i/>
          <w:color w:val="000000" w:themeColor="text1"/>
          <w:sz w:val="24"/>
          <w:szCs w:val="24"/>
          <w:lang w:val="es-CO"/>
        </w:rPr>
        <w:t>. Modifíquese el artículo 33 de la Ley 1753 de 2015, el cual quedará así:</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ARTÍCULO 33. OTRAS FUENTES DE PAGO PARA LA OPERACIÓN DE SISTEMAS DE TRANSPORTE PÚBLICO Y TRANSPORTE NO MOTORIZADO.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 xml:space="preserve">1. Recursos propios territoriales. Las autoridades de los departamentos, municipios, distritos o áreas metropolitanas podrán destinar recursos propios, incluyendo rentas y recursos de capital. La decisión anterior se adoptará mediante decreto municipal, distrital o mediante acuerdo metropolitano, el cual deberá contener como mínimo la destinación de los recursos, la fuente presupuestal y la garantía de la permanencia en el tiempo de los recursos, así como contar con concepto del CONFIS territorial o quien haga sus veces, y estar previstos en el Marco de Gasto de Mediano Plazo territorial con criterios de sostenibilidad fiscal. </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2. Contribución por el servicio de parqueadero o de estacionamiento en vía. Los órganos territoriales podrán establecer una contribución a las tarifas al usuario de parqueaderos fuera de vía o estacionamientos en vía y podrán destinar recursos obtenidos por esta fuente para la sostenibilidad y calidad de sus sistemas de transporte. El hecho generador del tributo corresponde al uso del servicio de parqueaderos fuera de vía o estacionamiento en vía, los sujetos activos serán los municipios, distritos y áreas metropolitanas. Serán  sujetos pasivos los usuarios del servicio gravado.</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 xml:space="preserve">Corresponderá a las asambleas o concejos pertinentes definir los elementos del tributo y el sistema y método para definir los costos, y los responsables del cobro, </w:t>
      </w:r>
      <w:r w:rsidRPr="003A174E">
        <w:rPr>
          <w:rFonts w:ascii="Georgia" w:hAnsi="Georgia"/>
          <w:i/>
          <w:color w:val="000000" w:themeColor="text1"/>
          <w:sz w:val="24"/>
          <w:szCs w:val="24"/>
          <w:lang w:val="es-CO"/>
        </w:rPr>
        <w:lastRenderedPageBreak/>
        <w:t>declaración y consignación de los recursos recaudados, de manera que el tributo se ajuste a las condiciones locales.</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Deberá cobrarse a todos aquellos usuarios que los estudios técnicos recomienden, considerando las vulnerabilidades de siniestralidad vial yla promoción de energéticos y tecnologías de cero o bajas emisiones.</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 xml:space="preserve">3. Estacionamiento en vía pública. Las autoridades territoriales podrán destinar para la sostenibilidad y calidad de sus sistemas de transporte, una parte de los recursos que se hayan obtenido de las contraprestaciones económicas percibidas por el uso de vías públicas para estacionamiento. </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4. Infraestructura nueva para minimizar la congestión. Las autoridades territoriales que hayan adoptado plan de movilidad podrán establecer precios públicos diferenciales por acceso o uso de infraestructura de transporte nueva construida para minimizar la congestión. Las autoridades territoriales podrán destinar recursos obtenidos por esta fuente para la sostenibilidad y calidad de sus sistemas de transporte.</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 xml:space="preserve">El precio será fijado teniendo en cuenta el tipo de vía o zona; los meses, días u horas determinadas de uso; y el tipo de servicio del vehículo, el número de pasajeros o el tipo de vehículo. </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Deberá cobrarse a todos aquellos usuarios que los estudios técnicos recomienden, considerando las vulnerabilidades de siniestralidad vial y la promoción de energéticos y tecnologías de cero o bajas emisiones.</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5. Áreas con restricción vehicular. Las autoridades territoriales podrán definir áreas de congestión en las que sea necesario condicionar o restringir espacial o temporalmente el tránsito vehicular. El acceso a estas áreas podrá generar contraprestaciones o precios públicos a favor de la entidad territorial, quien definirá su tarifa y condiciones con base en estudios técnicos, con fundamento en el tipo de vía o zona; los meses, días u horas determinadas de uso; y el tipo de servicio del vehículo, el número de pasajeros o el tipo de vehículo, entre otros. Las autoridades territoriales podrán destinar recursos obtenidos por esta fuente para la sostenibilidad y calidad de sus sistemas de transporte.</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6. Las entidades territoriales podrán destinar un porcentaje hasta del 60% del recaudo correspondiente a la entidad territorial por concepto de multas de tránsito para el funcionamiento sostenible de sus sistemas de transporte público masivo y colectivo o transporte no motorizado. Dicho porcentaje deberá ser definido y soportado por un análisis técnico y financiero que identifique los costos y gastos financiados por el concepto de multas, los programas y proyectos que se pueden financiar y los indicadores de seguimiento a los objetivos de seguridad vial.</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lastRenderedPageBreak/>
        <w:t>7. Las autoridades territoriales podrán modificar las tarifas de los servicios de transporte público complementario a partir de la aplicación de factores tarifarios que permitirán obtener recursos para la sostenibilidad de otros servicios colectivos o masivos que operen en su jurisdicción.</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8. Derecho real de superficie en infraestructura de transporte. Una entidad pública denominada superficiante, titular absoluta de un inmueble de Infraestructura de Transporte, podrá otorgar el derecho real de superficie de origen contractual, enajenable y oneroso, a un tercero denominado superficiario, por un plazo máximo de treinta (30) años incluidas prórrogas. El superficiario tendrá la facultad de realizar y explotar por su exclusiva cuenta y riesgo, construcciones o edificaciones en áreas libres aprovechables con todos sus atributos, sin afectar el uso público, la prestación del servicio de transporte, ni restringir la propiedad del inmueble base del superficiante.</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El derecho real de superficie se constituye mediante contratos elevados a escritura pública suscritos entre el titular del inmueble base y los terceros que serán superficiarios, los cuales contendrán la delimitación del área aprovechable, el plazo de otorgamiento del derecho, las condiciones de reversión de las construcciones, las obligaciones de las partes y la retribución que corresponde al superficiante, debiendo además inscribirse ante la Oficina de Registro de Instrumentos Públicos con el fin de dar lugar a la apertura de un folio de matrícula inmobiliaria de carácter temporal que identificará al área conferida al superficiario, a las construcciones y registrará los actos jurídicos que se efectúen sobre las mismas.</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Para otorgar el derecho real de superficie el superficiante deberá contar con un estudio técnico, financiero y jurídico, que valide y determine las condiciones y beneficios financieros y económicos que se generan a partir de su implementación.</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CO"/>
        </w:rPr>
      </w:pPr>
      <w:r w:rsidRPr="003A174E">
        <w:rPr>
          <w:rFonts w:ascii="Georgia" w:hAnsi="Georgia"/>
          <w:i/>
          <w:color w:val="000000" w:themeColor="text1"/>
          <w:sz w:val="24"/>
          <w:szCs w:val="24"/>
          <w:lang w:val="es-CO"/>
        </w:rPr>
        <w:t>9. Además de las anteriores fuentes de financiación y pago, se podrán utilizar recursos de otras fuentes como valor residual de concesiones, valorización, subasta de norma urbanística, herramientas de captura del valor del suelo, sobretasa a la gasolina o al ACPM, cobro o aportes por edificabilidad adicional y mayores valores de recaudo futuro generados en las zonas de influencia de proyectos de renovación urbana así como recursos obtenidos a través de ingresos no operacionales.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106</w:t>
      </w:r>
      <w:r w:rsidRPr="003A174E">
        <w:rPr>
          <w:rFonts w:ascii="Georgia" w:hAnsi="Georgia"/>
          <w:b/>
          <w:i/>
          <w:sz w:val="24"/>
          <w:szCs w:val="24"/>
          <w:lang w:val="es-CO"/>
        </w:rPr>
        <w:t>º. SOSTENIBILIDAD DE SISTEMAS DE TRANSPORTE</w:t>
      </w:r>
      <w:r w:rsidRPr="003A174E">
        <w:rPr>
          <w:rFonts w:ascii="Georgia" w:hAnsi="Georgia"/>
          <w:i/>
          <w:sz w:val="24"/>
          <w:szCs w:val="24"/>
          <w:lang w:val="es-CO"/>
        </w:rPr>
        <w:t>. Modifíquese el artículo 14 de la Ley 86 de 1989,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14. SOSTENIBILIDAD DE SISTEMAS DE TRANSPORTE. Los sistemas de transporte colectivo y masivo deben ser sostenibles basados en la calidad en la prestación del servicio y en el control de la ilegalidad y la informalidad por parte de las entidades territoriales. Para ello las tarifas que se cobren por la prestación del servicio, sumadas a otras fuentes de pago de origen territorial si las hubiere, </w:t>
      </w:r>
      <w:r w:rsidRPr="003A174E">
        <w:rPr>
          <w:rFonts w:ascii="Georgia" w:hAnsi="Georgia"/>
          <w:i/>
          <w:sz w:val="24"/>
          <w:szCs w:val="24"/>
          <w:lang w:val="es-CO"/>
        </w:rPr>
        <w:lastRenderedPageBreak/>
        <w:t>deberán ser suficientes para cubrir los costos de operación, administración, mantenimiento, y reposición de los equipos. En ningún caso el Gobierno nacional podrá realizar transferencias para cubrir estos costos.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contratos de concesión y operación deben contemplar el concepto de sostenibilidad, y para el efecto se podrán realizar las modificaciones contractuales a que haya lugar.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107</w:t>
      </w:r>
      <w:r w:rsidRPr="003A174E">
        <w:rPr>
          <w:rFonts w:ascii="Georgia" w:hAnsi="Georgia"/>
          <w:b/>
          <w:i/>
          <w:sz w:val="24"/>
          <w:szCs w:val="24"/>
          <w:lang w:val="es-CO"/>
        </w:rPr>
        <w:t>º. APOYO A LOS SISTEMAS DE TRANSPORTE</w:t>
      </w:r>
      <w:r w:rsidRPr="003A174E">
        <w:rPr>
          <w:rFonts w:ascii="Georgia" w:hAnsi="Georgia"/>
          <w:i/>
          <w:sz w:val="24"/>
          <w:szCs w:val="24"/>
          <w:lang w:val="es-CO"/>
        </w:rPr>
        <w:t xml:space="preserve">. </w:t>
      </w:r>
      <w:r w:rsidRPr="003A174E">
        <w:rPr>
          <w:rFonts w:ascii="Georgia" w:hAnsi="Georgia"/>
          <w:i/>
          <w:sz w:val="24"/>
          <w:szCs w:val="24"/>
        </w:rPr>
        <w:t xml:space="preserve">El Gobierno nacional podrá apoyar técnica o financieramente la implementación de sistemas de transporte público colectivo o masivo </w:t>
      </w:r>
      <w:r w:rsidRPr="003A174E">
        <w:rPr>
          <w:rFonts w:ascii="Georgia" w:hAnsi="Georgia"/>
          <w:i/>
          <w:sz w:val="24"/>
          <w:szCs w:val="24"/>
          <w:lang w:val="es-ES"/>
        </w:rPr>
        <w:t>terrestres, marítimos</w:t>
      </w:r>
      <w:r w:rsidRPr="003A174E">
        <w:rPr>
          <w:rFonts w:ascii="Georgia" w:hAnsi="Georgia"/>
          <w:i/>
          <w:sz w:val="24"/>
          <w:szCs w:val="24"/>
        </w:rPr>
        <w:t xml:space="preserve"> o </w:t>
      </w:r>
      <w:r w:rsidRPr="003A174E">
        <w:rPr>
          <w:rFonts w:ascii="Georgia" w:hAnsi="Georgia"/>
          <w:i/>
          <w:sz w:val="24"/>
          <w:szCs w:val="24"/>
          <w:lang w:val="es-ES"/>
        </w:rPr>
        <w:t>fluviales</w:t>
      </w:r>
      <w:r w:rsidRPr="003A174E">
        <w:rPr>
          <w:rFonts w:ascii="Georgia" w:hAnsi="Georgia"/>
          <w:i/>
          <w:sz w:val="24"/>
          <w:szCs w:val="24"/>
        </w:rPr>
        <w:t xml:space="preserve"> en cualquiera de las jurisdicciones del territorio nacional, en sus etapas de diseño, </w:t>
      </w:r>
      <w:r w:rsidRPr="003A174E">
        <w:rPr>
          <w:rFonts w:ascii="Georgia" w:hAnsi="Georgia"/>
          <w:i/>
          <w:sz w:val="24"/>
          <w:szCs w:val="24"/>
          <w:lang w:val="es-CO"/>
        </w:rPr>
        <w:t xml:space="preserve">ejecución u operación. Lo anterior de conformidad con el Marco Fiscal de Mediano Plazo y lo establecido en el artículo 14 de la Ley 86 de 1989 y en la Ley 310 de 1996.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sistemas de transporte cofinanciados por la Nación deberán ser soluciones de transporte que cumplan condiciones de calidad, utilizar eficientemente los recursos, incorporar energéticos y tecnologías vehiculares de cero o bajas emisiones y facilitar el acceso a personas con discapacidad o movilidad reducida, contemplar herramientas que contribuyan a la gestión del tráfico e involucran en los diseños la integración operacional de los sistemas de transporte con los terminales de transporte habilitados por el Ministerio de Transporte, aeropuertos, puertos y pasos de frontera según sea el caso; así como contar con medidas orientadas a incrementar el uso de medios no motorizados y con empresas administradoras integrales encargadas de la operación.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Estos sistemas podrán ser: i) Sistemas Integrados de Transporte Masivo - SITM entendidos como aquellos que cuentan con infraestructura segregada para su uso exclusivo y cuyos agentes operadores y de recaudo sean concesionados o públicos; ii) Sistemas Estratégicos de Transporte Público - SETP como servicios de transporte colectivo integrados; iii) Sistemas Integrados de Transporte Público -SITP conformados por más de un modo o medio de transporte público integrados operacional y tarifariamente entre sí; iv) Sistemas Integrados de Transporte Regional - SITR como alguno de los anteriores sistemas para una escala interurbana.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Dentro de los Sistemas de Transporte podrá existir un subsistema de transporte complementario el cual atenderá la demanda de transporte público que no cubra el sistema de transporte masivo, integrado, estratégico o regional.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estructuración de los sistemas de transporte se realizará con autonomía por parte de las entidades territoriales, de conformidad con las necesidades propias de la ciudad o región. En caso de pretender la cofinanciación del Gobierno nacional se deberá involucrar a las entidades competentes de la Nación durante la elaboración de los estudios.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autoridades territoriales podrán realizar acciones que conduzcan a la sostenibilidad, calidad y cobertura de los sistemas de transporte público para lo cual pueden recurrir a la complementación, integración y articulación de las diferentes modalidades y servicios autorizados, haciendo uso de herramientas como los convenios de colaboración empresarial, acuerdos comerciales y todas aquellas acciones contra  el transporte ilegal.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servicio de transporte automotor mixto podrá complementar o alimentar los sistemas de transporte para brindar conectividad entre las zonas rurales y urbanas.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la integración con el transporte intermunicipal de pasajeros de corta distancia, las autoridades territoriales, junto con el Ministerio de Transporte y la sociedad titular del sistema de transporte, según sea el caso, podrán aplicar las herramientas indicadas, para iniciar, terminar o hacer paradas intermedias de sus recorridos en nodos del sistema de transporte o en las terminales de transporte intermunicipal habilitadas por el Ministerio de Transporte, incluidas las de operación satélite periférica, para lo cual deberán disponer de la infraestructura o señalización necesaria que permita la integración. En todo caso, los vehículos de transporte intermunicipal que cubran rutas de media y larga distancia deberán iniciar y terminar sus recorridos en las terminales de transporte intermunicipales habilitadas para tal fin.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Es deber de las autoridades locales, entes gestores, concesionarios de operación y de recaudo, así como de las empresas operadoras del servicio de transporte, suministrar cualquier tipo de información solicitada por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Se podrán realizar proyectos bajo esquemas de asociaciones público-privadas, de conformidad con la Ley 1508 de 2012  o la norma que lo modifique o sustituya, para el desarrollo de sistemas de transporte público colectivo o masivo o de algunos de sus componentes o unidades funcionales, con recursos de cofinanciación de la Nación. Dicha cofinanciación será de hasta el 70% del menor valor que resulte entre 1) los desembolsos de recursos públicos solicitados para la ejecución del proyecto y 2) el valor estimado del costo y la financiación de las actividades de diseño, preconstrucción y construcción del proyecto. Dicho porcentaje será certificado por parte de la Entidad Territorial Beneficiaria de los recursos de cofinanciación.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EL Ministerio de Transporte reglamentará la definición de transporte intermunicipal de corta, media y larga distancia.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PARÁGRAFO CUARTO.</w:t>
      </w:r>
      <w:r w:rsidRPr="003A174E">
        <w:rPr>
          <w:rFonts w:ascii="Georgia" w:hAnsi="Georgia"/>
          <w:i/>
          <w:sz w:val="24"/>
          <w:szCs w:val="24"/>
          <w:lang w:val="es-CO"/>
        </w:rPr>
        <w:t xml:space="preserve"> Las autoridades territoriales conjuntamente con el Ministerio de Transporte, según sea el caso, podrán promover mecanismos de </w:t>
      </w:r>
      <w:r w:rsidRPr="003A174E">
        <w:rPr>
          <w:rFonts w:ascii="Georgia" w:hAnsi="Georgia"/>
          <w:i/>
          <w:sz w:val="24"/>
          <w:szCs w:val="24"/>
          <w:lang w:val="es-CO"/>
        </w:rPr>
        <w:lastRenderedPageBreak/>
        <w:t>org</w:t>
      </w:r>
      <w:r w:rsidRPr="003A174E">
        <w:rPr>
          <w:rFonts w:ascii="Georgia" w:hAnsi="Georgia"/>
          <w:i/>
          <w:sz w:val="24"/>
          <w:szCs w:val="24"/>
        </w:rPr>
        <w:t>anización entre los sistemas de transporte público colectivo o masivo y las empresas de transporte intermunicipal de pasajeros de corta distancia.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108</w:t>
      </w:r>
      <w:r w:rsidRPr="003A174E">
        <w:rPr>
          <w:rFonts w:ascii="Georgia" w:hAnsi="Georgia"/>
          <w:b/>
          <w:i/>
          <w:sz w:val="24"/>
          <w:szCs w:val="24"/>
          <w:lang w:val="es-CO"/>
        </w:rPr>
        <w:t>º. COFINANCIACIÓN DE SISTEMAS DE TRANSPORTE</w:t>
      </w:r>
      <w:r w:rsidRPr="003A174E">
        <w:rPr>
          <w:rFonts w:ascii="Georgia" w:hAnsi="Georgia"/>
          <w:i/>
          <w:sz w:val="24"/>
          <w:szCs w:val="24"/>
          <w:lang w:val="es-CO"/>
        </w:rPr>
        <w:t>. Modifíquese el artículo 2 de la Ley 310 de 1996,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 COFINANCIACIÓN DE SISTEMAS DE TRANSPORTE. La Nación y sus entidades descentralizadas podrán realizar inversiones dentro del Marco Fiscal de Mediano Plazo con un mínimo del 40% y hasta por un 70% en proyectos de sistemas de transporte público colectivo o masivo, con dinero a través de una fiducia, o en especie de acuerdo con la reglamentación que para el efecto expida el Ministerio de Transporte.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inversiones financiables podrán ser el servicio de deuda; infraestructura física; sistemas inteligentes de transporte; y adquisición inicial total o parcial de vehículos nuevos o material rodante nuevo con estándares de bajas o cero emisiones, sin afectar el monto de los recursos aprobados en el CONPES de cada proyecto; que garanticen accesibilidad para población en condición de discapacidad o movilidad reducida. La adquisición, operación y mantenimiento de los activos cofinanciados son responsabilidad del ente territorial o de quien este delegue. Las disposiciones de este artículo tendrán vocación de permanencia en el tiempo.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Transporte verifica el cumplimiento de los siguientes requisitos: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Que exista o se constituya una sociedad titular de carácter público que se encargue de la gestión del sistema de transporte. Esta sociedad deberá implementar los lineamientos de gobierno corporativo emitidos por el Ministerio de Hacienda y Crédito Público para tal fin.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Que el proyecto respectivo tenga estudios de factibilidad técnica, ambiental, legales y financieros, aprobados por la entidad territorial que soporten, para las fases de planeación, construcción, operación y seguimiento, lo siguiente: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Definición del esquema operacional y financiero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Definición del esquema institucional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Aplicación de medidas para controlar y minimizar la ilegalidad</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 Evaluación social y económica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 Definición de estrategias para su sostenibilidad, mantenimiento y actualización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Identificación de fuentes de pago para alimentar el fondo de estabilización tarifaria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g. Análisis de la viabilidad fiscal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3) Que el proyecto respectivo cuente con un documento CONPES, que defina el sistema de transporte, así como las entidades encargadas de su diseño, construcción y operación con el cronograma respectivo, a partir del cual se autorizarán los desembolsos de manera progresiva de acuerdo con las necesidades y logros del proyecto, en especial aquellos hitos relacionados con la sostenibilidad operacional del sistema.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Que el sistema de transporte sea coherente con los objetivos del plan de movilidad adoptado en los casos ordenados por la ley, el plan de ordenamiento territorial y el plan de desarrollo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Que el proyecto propuesto esté debidamente registrado en el Banco de Proyectos de Inversión Nacional, y cumpla los requisitos establecidos en las disposiciones vigentes sobre la materia.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Que esté formalmente constituida una autoridad de transporte del sistema de transporte propuesto.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Los estudios ambientales, técnicos, legales o financieros que sean realizados por parte de las entidades territoriales o quien estas deleguen hacen parte de su autonomía territorial; el Gobierno nacional, brindará el acompañamiento técnico necesario sin que esto implique su validación o aprobación a los estudios realizados.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estudios a los que hace alusión este parágrafo deberán realizarse bajo el marco de la estrategia para la implementación de los Objetivos de Desarrollo Sostenible en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Para el caso de cofinanciación de sistemas transporte, el CONFIS podrá autorizar vigencias futuras de acuerdo con el respectivo cupo sectorial para el desarrollo de Asociaciones Público – Privadas.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109</w:t>
      </w:r>
      <w:r w:rsidRPr="003A174E">
        <w:rPr>
          <w:rFonts w:ascii="Georgia" w:hAnsi="Georgia"/>
          <w:b/>
          <w:i/>
          <w:sz w:val="24"/>
          <w:szCs w:val="24"/>
          <w:lang w:val="es-CO"/>
        </w:rPr>
        <w:t>º. CONCESIONES PORTUARIAS SOBRE NUEVOS EMPLAZAMIENTOS.</w:t>
      </w:r>
      <w:r w:rsidRPr="003A174E">
        <w:rPr>
          <w:rFonts w:ascii="Georgia" w:hAnsi="Georgia"/>
          <w:i/>
          <w:sz w:val="24"/>
          <w:szCs w:val="24"/>
          <w:lang w:val="es-CO"/>
        </w:rPr>
        <w:t xml:space="preserve"> Tratándose de concesiones portuarias entiéndase como puerto Greenfield el nuevo emplazamiento portuario construido en aguas profundas, es decir con profundidades naturales iguales o mayores a 17 metros en marea cero, que requieren el desarrollo de toda la infraestructura complementaria de accesos marítimos y terrestres o fluviales, así como la conectividad con otros modos de transporte y de comunicaciones con el resto del país y el mundo. Para este tipo de concesiones, el financiamiento de las inversiones requeridas en accesos y conectividad podrá ser contemplado en el Plan de Negocio del concesionario, y el plazo inicial de la concesión podrá ser hasta de 40 años, de conformidad con el parágrafo 1 del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PRIMERO</w:t>
      </w:r>
      <w:r w:rsidRPr="003A174E">
        <w:rPr>
          <w:rFonts w:ascii="Georgia" w:hAnsi="Georgia"/>
          <w:i/>
          <w:sz w:val="24"/>
          <w:szCs w:val="24"/>
          <w:lang w:val="es-CO"/>
        </w:rPr>
        <w:t xml:space="preserve">. El plazo de concesión podrá ser prorrogado hasta por el plazo inicialmente pactado, siempre que se cuente con el concepto previo y favorable del CONPES, si fuere necesario para que, en condiciones razonables de operación, los titulares de los contratos de concesión portuaria recuperen el valor de las inversiones hechas o para estimular a éstos a prestar el servicio público portuario y deberán soportarse en el modelo financiero que establezca el tiempo que se requiera para la recuperación de las inversiones efectuadas.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Las condiciones de prórroga y reversión serán las mismas contempladas en el artículo 8 de la Ley 1 de 1991 o aquel que lo modifique o complemente.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Pr>
          <w:rFonts w:ascii="Georgia" w:hAnsi="Georgia"/>
          <w:b/>
          <w:i/>
          <w:color w:val="000000"/>
          <w:sz w:val="24"/>
          <w:szCs w:val="24"/>
          <w:lang w:val="es-ES_tradnl"/>
        </w:rPr>
        <w:t>ARTÍCULO 110</w:t>
      </w:r>
      <w:r w:rsidRPr="003A174E">
        <w:rPr>
          <w:rFonts w:ascii="Georgia" w:hAnsi="Georgia"/>
          <w:b/>
          <w:i/>
          <w:color w:val="000000"/>
          <w:sz w:val="24"/>
          <w:szCs w:val="24"/>
          <w:lang w:val="es-ES_tradnl"/>
        </w:rPr>
        <w:t xml:space="preserve">º (NUEVO). CAMBIO EN LAS CONDICIONES DE LA CONCESIÓN. </w:t>
      </w:r>
      <w:r w:rsidRPr="003A174E">
        <w:rPr>
          <w:rFonts w:ascii="Georgia" w:hAnsi="Georgia"/>
          <w:i/>
          <w:color w:val="000000"/>
          <w:sz w:val="24"/>
          <w:szCs w:val="24"/>
          <w:lang w:val="es-ES_tradnl"/>
        </w:rPr>
        <w:t>Modifíquese el artículo 17 de la Ley 1 de 1991, el cual quedará así:</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ARTÍCULO 17. CAMBIO EN LAS CONDICIONES DE LA CONCESIÓN. Para que una sociedad portuaria pueda cambiar las condiciones en las cuales se le aprobó una concesión portuaria, debe obtener permiso previo y escrito de la Superintendencia de Transporte, que sólo lo otorgará si con ello no se infiere perjuicio grave e injustificado a terceros, y si el cambio no es de tal naturaleza que desvirtúe los propósitos de competencia en los que se inspiran los procedimientos descritos en los artículos 9, 10, 11 y 12, de esta Ley. Al hacer cualquier cambio en las condiciones de la concesión, podrá variarse la contraprestación que se paga a la Nación, así como el plazo de acuerdo con la metodología establecida al momento de la suscripción de la concesión. En el caso que ocurra modificaciones sustanciales podrá variarse la metodología de la contraprestación que se paga a la Nación. Se entiende por modificación sustancial la modificación del proyecto general y/o de sus especificaciones técnicas, en la clase de carga de al menos un 20%, entendido éste como el volumen máximo teórico de movilización de carga que pueda lograrse razonablemente antes del cambio solicitado. El Gobierno fijará un procedimiento que ponga en conocimiento del público y de las autoridades de que trata el artículo 10 de la presente ley la solicitud de modificación y les permita pronunciarse en un plazo de veinte (20) días.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Cualquier solicitud relacionada con la ampliación de los linderos y/o extensión zona de uso público otorgada en concesión o de la infraestructura portuaria de propiedad de la Nación entregada en concesión, superior al 5% del área inicialmente concesionada se considera para todos los efectos como una nueva concesión y supondrá el cumplimiento de los artículos 9, 10, 11 y 12 de esta Ley.</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111</w:t>
      </w:r>
      <w:r w:rsidRPr="003A174E">
        <w:rPr>
          <w:rFonts w:ascii="Georgia" w:hAnsi="Georgia"/>
          <w:b/>
          <w:i/>
          <w:sz w:val="24"/>
          <w:szCs w:val="24"/>
          <w:lang w:val="es-CO"/>
        </w:rPr>
        <w:t>º. INTERVENCIÓN DE LA RED VIAL, FLUVIAL Y AEROPUERTOS REGIONALES.</w:t>
      </w:r>
      <w:r w:rsidRPr="003A174E">
        <w:rPr>
          <w:rFonts w:ascii="Georgia" w:hAnsi="Georgia"/>
          <w:i/>
          <w:sz w:val="24"/>
          <w:szCs w:val="24"/>
          <w:lang w:val="es-CO"/>
        </w:rPr>
        <w:t xml:space="preserve"> El Instituto Nacional de Vías - INVÍAS y la Unidad Administrativa Especial de Aeronáutica Civil podrán apoyar la financiación de proyectos para la intervención de la red vial, fluvial y los aeropuertos regionales de competencia de las entidades territoriales, previo a los </w:t>
      </w:r>
      <w:r w:rsidRPr="003A174E">
        <w:rPr>
          <w:rFonts w:ascii="Georgia" w:hAnsi="Georgia"/>
          <w:i/>
          <w:sz w:val="24"/>
          <w:szCs w:val="24"/>
          <w:lang w:val="es-CO"/>
        </w:rPr>
        <w:lastRenderedPageBreak/>
        <w:t>criterios de priorización definidos por el Gobierno nacional y de acuerdo con lo previsto en el Marco Fiscal de Mediano Plazo y con el Marco de Gasto del correspondiente sector.</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virtud del apoyo a las entidades territoriales, el INVÍAS y la Unidad Administrativa Especial de Aeronáutica Civil podrán adquirir, materiales, equipos, y la mano de obra requerida para su ejecución y podrán concurrir en la cofinanciación entidades de carácter privado. En todo caso, el INVÍAS y la Aeronáutica civil adoptarán las medidas requeridas para la ejecución de los recursos, entre otros, en convenio con los municipios.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112</w:t>
      </w:r>
      <w:r w:rsidRPr="003A174E">
        <w:rPr>
          <w:rFonts w:ascii="Georgia" w:hAnsi="Georgia"/>
          <w:b/>
          <w:i/>
          <w:sz w:val="24"/>
          <w:szCs w:val="24"/>
          <w:lang w:val="es-CO"/>
        </w:rPr>
        <w:t>º. PARTICIPACIÓN DE ENTIDADES DE NATURALEZA PÚBLICA O MIXTA</w:t>
      </w:r>
      <w:r w:rsidRPr="003A174E">
        <w:rPr>
          <w:rFonts w:ascii="Georgia" w:hAnsi="Georgia"/>
          <w:i/>
          <w:sz w:val="24"/>
          <w:szCs w:val="24"/>
          <w:lang w:val="es-CO"/>
        </w:rPr>
        <w:t>. Modifíquese el parágrafo del artículo 8 de la Ley 1508 de 2012,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Podrán ser contratantes de esquemas de Asociación Público Privada bajo el régimen previsto en la presente Ley,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y las empresas de servicios públicos domiciliarios oficiales o mixtas.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el caso en que las entidades a que se refiere el inciso anterior decidan optar por esquemas de Asociación Público Privada bajo el régimen previsto en la presente ley, dichas empresas o sociedades deberán dar cumplimiento a lo previsto en la misma y sujetarse a las disposiciones particulares que les sean aplicables en materia contractual y presupuestal.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las entidades a que se refiere el primer inciso del presente parágrafo decidan no acogerse a los esquemas de Asociación Público Privada bajo el régimen previsto en la presente ley, podrán contratar esquemas de participación privada en infraestructura conforme a su régimen de contratación, incluyendo la utilización, cuando a ello haya lugar, de la concesión de que trata el numeral 4 del artículo 32 de la Ley 80 de 1993.</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 anterior, sin perjuicio de que las entidades a las que se refiere el primer inciso de este parágrafo puedan presentar oferta para participar en los procesos de selección de esquemas de asociación público privada regidos por esta Ley, siempre que cumplan con los requisitos establecidos para el efecto en el respectivo proceso de selección.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113</w:t>
      </w:r>
      <w:r w:rsidRPr="003A174E">
        <w:rPr>
          <w:rFonts w:ascii="Georgia" w:hAnsi="Georgia"/>
          <w:b/>
          <w:i/>
          <w:sz w:val="24"/>
          <w:szCs w:val="24"/>
          <w:lang w:val="es-CO"/>
        </w:rPr>
        <w:t>º. CELEBRACIÓN DE CONTRATOS DE OBRA PÚBLICA</w:t>
      </w:r>
      <w:r w:rsidRPr="003A174E">
        <w:rPr>
          <w:rFonts w:ascii="Georgia" w:hAnsi="Georgia"/>
          <w:i/>
          <w:sz w:val="24"/>
          <w:szCs w:val="24"/>
          <w:lang w:val="es-CO"/>
        </w:rPr>
        <w:t>. Modifíquese el artículo 205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ARTÍCULO 205. CELEBRACIÓN DE CONTRATOS DE OBRA PÚBLICA EN INFRAESTRUCTURA CONCESIONADA. El Instituto Nacional de Vías - INVÍAS y la Unidad Administrativa Especial de Aeronáutica Civil - Aerocivil podrán, excepcionalmente, celebrar y ejecutar contratos de obra pública para realizar obras complementarias sobre infraestructura concesionada, sin que sea necesaria la desafectación de la infraestructura a intervenir, con el fin de garantizar la continuidad de la prestación del servicio en condiciones de seguridad, transitabilidad, funcionalidad y/o seguridad de la infraestructura de transporte; impedir el deterioro de la infraestructura o la afectación de la comunidad; y mitigar el riesgo de pérdida del patrimonio vial.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objeto de dichos contratos de obra pública no podrá comprender obras o inversiones que cambien sustancialmente el alcance del proyecto. La realización de la obra pública deberá ser pactada mediante convenio a celebrarse entre el INVÍAS o la Aerocivil y la entidad pública a cargo del contrato de concesión. En estos convenios se definirá la fuente de financiación y entidad responsable de la ejecución y mantenimiento de la obra, así como las demás condiciones necesarias para el efecto. Previamente, la entidad estatal concedente de la infraestructura y el concesionario, deberán acordar los términos en que este colaborará y apoyará la realización de dichas obras.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114</w:t>
      </w:r>
      <w:r w:rsidRPr="003A174E">
        <w:rPr>
          <w:rFonts w:ascii="Georgia" w:hAnsi="Georgia"/>
          <w:b/>
          <w:i/>
          <w:sz w:val="24"/>
          <w:szCs w:val="24"/>
          <w:lang w:val="es-CO"/>
        </w:rPr>
        <w:t>º. DESTINACIÓN DE APORTES DE LA AGENCIA NACIONAL DE INFRAESTRUCTURA - ANI EN SITUACIONES DE REVERSIÓN DE INFRAESTRUCTURA POR TERMINACIÓN ANTICIPADA.</w:t>
      </w:r>
      <w:r w:rsidRPr="003A174E">
        <w:rPr>
          <w:rFonts w:ascii="Georgia" w:hAnsi="Georgia"/>
          <w:i/>
          <w:sz w:val="24"/>
          <w:szCs w:val="24"/>
          <w:lang w:val="es-CO"/>
        </w:rPr>
        <w:t xml:space="preserve"> Cuando por la terminación anticipada del contrato de concesión, se efectúe  la reversión de infraestructura, se podrán destinar parcial o totalmente los aportes previstos para la Agencia Nacional de Infraestructura que habrían de ser transferidos a los concesionarios en las vigencias anuales sucesivas respetando la anualidad correspondiente, así como los ingresos provenientes de los peajes previstos en el modelo financiero como ingresos de los concesionarios, para dar continuidad a las obras, garantizar la transitabilidad, funcionalidad y seguridad de la infraestructura de transporte revertida, así como para atender necesidades del sector transporte.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ello, el Ministerio de Transporte y sus entidades adscritas y vinculadas podrán reprogramar vigencias futuras autorizadas en los diferentes proyectos de inversión en la vigencia en la cual ocurra la reversión.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115</w:t>
      </w:r>
      <w:r w:rsidRPr="003A174E">
        <w:rPr>
          <w:rFonts w:ascii="Georgia" w:hAnsi="Georgia"/>
          <w:b/>
          <w:i/>
          <w:sz w:val="24"/>
          <w:szCs w:val="24"/>
          <w:lang w:val="es-CO"/>
        </w:rPr>
        <w:t>º. AVALES Y GARANTÍAS EN EL MARCO DE LA COFINANCIACIÓN DE SISTEMAS DE TRANSPORTE</w:t>
      </w:r>
      <w:r w:rsidRPr="003A174E">
        <w:rPr>
          <w:rFonts w:ascii="Georgia" w:hAnsi="Georgia"/>
          <w:i/>
          <w:sz w:val="24"/>
          <w:szCs w:val="24"/>
          <w:lang w:val="es-CO"/>
        </w:rPr>
        <w:t>. La Nación podrá otorgar los avales o garantías a las operaciones de financiamiento que realicen las entidades en el marco de la cofinanciación de la que trata el inciso 2 del artículo 14 de la Ley 86 de 1989, modificada por el artículo 31 de la Ley 1753 de 2015. En estos eventos, las entidades estatales podrán utilizar para la constitución de las contragarantías a favor de la Nación, entre otras, los flujos correspondientes a las vigencias futuras aprobadas por la instancia correspondiente.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Para la constitución de las contragarantías a favor de la Nación, se podrán otorgar como contragarantía los flujos correspondientes a las vigencias futuras de las entidades de los órdenes nacionales o territoriales aprobados por las instancias correspondientes.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En lo no previsto en el presente artículo se aplicará lo dispuesto en el Decreto 1068 de 2015 y demás normas vigentes.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116</w:t>
      </w:r>
      <w:r w:rsidRPr="003A174E">
        <w:rPr>
          <w:rFonts w:ascii="Georgia" w:hAnsi="Georgia"/>
          <w:b/>
          <w:i/>
          <w:sz w:val="24"/>
          <w:szCs w:val="24"/>
          <w:lang w:val="es-CO"/>
        </w:rPr>
        <w:t>°. CONTRIBUCIÓN ESPECIAL DE VIGILANCIA PARA LA SUPERINTENDENCIA DE TRANSPORTE.</w:t>
      </w:r>
      <w:r w:rsidRPr="003A174E">
        <w:rPr>
          <w:rFonts w:ascii="Georgia" w:hAnsi="Georgia"/>
          <w:i/>
          <w:sz w:val="24"/>
          <w:szCs w:val="24"/>
          <w:lang w:val="es-CO"/>
        </w:rPr>
        <w:t xml:space="preserve"> Modifíquese el artículo 36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36. CONTRIBUCIÓN ESPECIAL DE VIGILANCIA PARA LA SUPERINTENDENCIA DE TRANSPORTE. La Superintendencia de Transporte como establecimiento público con personería jurídica, cobrará una contribución especial de vigilancia, la cual, junto con las multas impuestas en ejercicio de sus funciones, tendrán como destino el presupuesto de la Superintendencia. La contribución será cancelada anualmente por todas las personas naturales y/o jurídicas que estén sometidas a su vigilancia, inspección y/o control de acuerdo con la ley o el reglamento.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contribución especial de vigilancia se fijará por parte de la Superintendencia de Transporte conforme a los siguientes criterios: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base en los ingresos brutos derivados de la actividad de transporte que perciba el sujeto supervisado durante el período anual anterior, la Superintendencia de Transporte, mediante resolución, establecerá la tarifa de la contribución a cobrar que no podrá ser superior al cero coma veintiuno por ciento (0,21%) de dichos ingresos brutos.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xml:space="preserve"> Para efectos del presente artículo, se entenderá por ingresos brutos derivados de la actividad de transporte, todos aquellos que recibe el supervisado por las actividades relacionadas con el tránsito, transporte, su infraestructura o sus servicios conexos y complementarios, durante el período anual anterior, sin restarle las contribuciones, gastos, costos, tributos, descuentos y deducciones.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Para concesiones y otras formas de asociaciones público privadas se entenderá por ingresos brutos derivados de la actividad de transporte, aquellos ingresos del concesionario en virtud del contrato, y que se liquidaran teniendo en cuenta los ingresos brutos ordinarios y extraordinarios determinados con base en las normas establecidas para el impuesto sobre la renta y complementarios fijadas en el estatuto tributario y su reglamentación, diferentes </w:t>
      </w:r>
      <w:r w:rsidRPr="003A174E">
        <w:rPr>
          <w:rFonts w:ascii="Georgia" w:hAnsi="Georgia"/>
          <w:i/>
          <w:sz w:val="24"/>
          <w:szCs w:val="24"/>
          <w:lang w:val="es-CO"/>
        </w:rPr>
        <w:lastRenderedPageBreak/>
        <w:t>de los ingresos recibidos con fuente Presupuesto General de la Nación, entidades territoriales u otros fondos públicos.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PÁRAGRAFO 3.</w:t>
      </w:r>
      <w:r w:rsidRPr="003A174E">
        <w:rPr>
          <w:rFonts w:ascii="Georgia" w:hAnsi="Georgia"/>
          <w:i/>
          <w:sz w:val="24"/>
          <w:szCs w:val="24"/>
          <w:lang w:val="es-CO"/>
        </w:rPr>
        <w:t xml:space="preserve"> Los concesionarios de puertos de servicio privado pagarán la contribución especial de vigilancia teniendo en cuenta como base de liquidación, la cifra resultante de multiplicar las toneladas movilizadas en el año inmediatamente anterior por la tarifa calculada anualmente por la Superintendencia de Transporte para cada tipo de carga de acuerdo con la metodología establecida en los planes de expansión portuaria y demás normas concordantes.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Para efectos del control en el pago de la contribución aquí prevista, la Superintendencia de Transporte reglamentará la inscripción y registro de los operadores portuarios, marítimos y fluviales.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117</w:t>
      </w:r>
      <w:r w:rsidRPr="003A174E">
        <w:rPr>
          <w:rFonts w:ascii="Georgia" w:hAnsi="Georgia"/>
          <w:b/>
          <w:i/>
          <w:sz w:val="24"/>
          <w:szCs w:val="24"/>
          <w:lang w:val="es-CO"/>
        </w:rPr>
        <w:t>°. PROTECCIÓN DE USUARIOS DE TRANSPORTE AÉREO.</w:t>
      </w:r>
      <w:r w:rsidRPr="003A174E">
        <w:rPr>
          <w:rFonts w:ascii="Georgia" w:hAnsi="Georgia"/>
          <w:i/>
          <w:sz w:val="24"/>
          <w:szCs w:val="24"/>
          <w:lang w:val="es-CO"/>
        </w:rPr>
        <w:t xml:space="preserve"> La Superintendencia de Transporte es la autoridad competente para velar por la observancia de las disposiciones sobre protección al usuario del transporte aéreo, así como para adelantar las investigaciones e imponer las sanciones o medidas administrativas a que haya lugar por las infracciones a las normas aeronáuticas en lo referente a los derechos y deberes de los usuarios del transporte aéreo, excluyendo aquellas disposiciones relacionadas con la seguridad operacional y seguridad de la aviación civil; cuya competencia permanecerá en la Unidad Administrativa Especial de Aeronáutica Civil. Las multas impuestas por la Superintendencia de Transporte tendrán como destino el presupuesto de ésta.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Los cargos y recursos de la Unidad Administrativa Especial de Aeronáutica Civil para la protección de usuarios del modo de transporte aéreo serán trasladados a la Superintendencia de Transporte. En todo caso, el Gobierno nacional garantizará que la Superintendencia de Transporte cuente con el presupuesto necesario para la protección de los usuarios del sector.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118</w:t>
      </w:r>
      <w:r w:rsidRPr="003A174E">
        <w:rPr>
          <w:rFonts w:ascii="Georgia" w:hAnsi="Georgia"/>
          <w:b/>
          <w:i/>
          <w:sz w:val="24"/>
          <w:szCs w:val="24"/>
          <w:lang w:val="es-CO"/>
        </w:rPr>
        <w:t>°</w:t>
      </w:r>
      <w:r w:rsidRPr="003A174E">
        <w:rPr>
          <w:rFonts w:ascii="Georgia" w:hAnsi="Georgia"/>
          <w:i/>
          <w:sz w:val="24"/>
          <w:szCs w:val="24"/>
          <w:lang w:val="es-CO"/>
        </w:rPr>
        <w:t xml:space="preserve">. </w:t>
      </w:r>
      <w:r w:rsidRPr="003A174E">
        <w:rPr>
          <w:rFonts w:ascii="Georgia" w:hAnsi="Georgia"/>
          <w:b/>
          <w:i/>
          <w:sz w:val="24"/>
          <w:szCs w:val="24"/>
          <w:lang w:val="es-CO"/>
        </w:rPr>
        <w:t>PROTECCIÓN AL TURISTA.</w:t>
      </w:r>
      <w:r w:rsidRPr="003A174E">
        <w:rPr>
          <w:rFonts w:ascii="Georgia" w:hAnsi="Georgia"/>
          <w:i/>
          <w:sz w:val="24"/>
          <w:szCs w:val="24"/>
          <w:lang w:val="es-CO"/>
        </w:rPr>
        <w:t xml:space="preserve"> Modifíquese el parágrafo 2 y adiciónese un parágrafo transitorio al artículo 25 de la Ley 1558 de 2012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Las reclamaciones que se susciten en desarrollo de la prestación y comercialización del servicio del transporte aéreo, serán resueltas por la Superintendencia de Transporte como única entidad competente del sector, dando aplicación al procedimiento sancionatorio del Código de Procedimiento Administrativo y de lo Contencioso Administrativo y demás normas concordantes.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TRANSITORIO.</w:t>
      </w:r>
      <w:r w:rsidRPr="003A174E">
        <w:rPr>
          <w:rFonts w:ascii="Georgia" w:hAnsi="Georgia"/>
          <w:i/>
          <w:sz w:val="24"/>
          <w:szCs w:val="24"/>
          <w:lang w:val="es-CO"/>
        </w:rPr>
        <w:t xml:space="preserve"> Las investigaciones iniciadas con anterioridad a la entrada en vigencia de esta ley seguirán en cabeza de la Unidad Administrativa Especial de Aeronáutica Civil y culminarán de conformidad con el régimen jurídico y procedimiento con el cual se iniciaron.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119°. REPROGRAMACIÓ</w:t>
      </w:r>
      <w:r w:rsidRPr="003A174E">
        <w:rPr>
          <w:rFonts w:ascii="Georgia" w:hAnsi="Georgia"/>
          <w:b/>
          <w:i/>
          <w:sz w:val="24"/>
          <w:szCs w:val="24"/>
          <w:lang w:val="es-CO"/>
        </w:rPr>
        <w:t>N DE VIGENCIAS FUTURAS DEL SECTOR TRANSPORTE.</w:t>
      </w:r>
      <w:r w:rsidRPr="003A174E">
        <w:rPr>
          <w:rFonts w:ascii="Georgia" w:hAnsi="Georgia"/>
          <w:i/>
          <w:sz w:val="24"/>
          <w:szCs w:val="24"/>
          <w:lang w:val="es-CO"/>
        </w:rPr>
        <w:t xml:space="preserve"> Con el fin de atender gastos prioritarios del Sector Transporte y mantener la consistencia fiscal del Presupuesto General de la Nación, las entidades que conforman el Sector podrán recomponer el presupuesto a través de la reprogramación de los compromisos realizados con cargo a vigencias futuras, autorizadas en los diferentes proyectos de inversión.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Gobierno nacional hará los ajustes necesarios mediante decreto anual, debidamente motivado, sin cambiar, en todo caso, el monto total de gasto de inversión del sector para la vigencia fiscal, aprobado por el Congreso.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120</w:t>
      </w:r>
      <w:r w:rsidRPr="003A174E">
        <w:rPr>
          <w:rFonts w:ascii="Georgia" w:hAnsi="Georgia"/>
          <w:b/>
          <w:i/>
          <w:sz w:val="24"/>
          <w:szCs w:val="24"/>
          <w:lang w:val="es-CO"/>
        </w:rPr>
        <w:t>°. VIGENCIAS FUTURAS DE LA NACIÓN Y LAS ENTIDADES ESTATALES DEL ORDEN NACIONAL PARA PROYECTOS DE ASOCIACIÓN PÚBLICO PRIVADA.</w:t>
      </w:r>
      <w:r w:rsidRPr="003A174E">
        <w:rPr>
          <w:rFonts w:ascii="Georgia" w:hAnsi="Georgia"/>
          <w:i/>
          <w:sz w:val="24"/>
          <w:szCs w:val="24"/>
          <w:lang w:val="es-CO"/>
        </w:rPr>
        <w:t xml:space="preserve"> Adiciónese el siguiente parágrafo al artículo 26 de la Ley 1508 de 2012: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entidades estatales del orden nacional que cuenten con recursos propios o fondos especiales destinados al desarrollo de proyectos de infraestructura, podrán destinar estos recursos para el desarrollo de proyectos de Asociación Público Privada - APP, sin que estos sean contabilizados dentro del límite anual de autorizaciones de vigencias futuras establecido por el Consejo Nacional de Política Económica y Social - CONPES para el desarrollo de dichos proyectos. Sin perjuicio de lo anterior, la solicitud de autorización de vigencia futuras al Consejo de Política Fiscal - CONFIS para proyectos de Asociación Público Privada deberá estar acompañada de un análisis de disponibilidad y sostenibilidad de los ingresos propios o de la fuente de ingreso del respectivo fondo público durante el periodo que demande la ejecución del proyecto, de conformidad con los compromisos de pago proyectados.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121</w:t>
      </w:r>
      <w:r w:rsidRPr="003A174E">
        <w:rPr>
          <w:rFonts w:ascii="Georgia" w:hAnsi="Georgia"/>
          <w:b/>
          <w:i/>
          <w:sz w:val="24"/>
          <w:szCs w:val="24"/>
          <w:lang w:val="es-CO"/>
        </w:rPr>
        <w:t>°. REQUISITOS PARA PROYECTOS DE ASOCIACIÓN PÚBLICO PRIVADA QUE REQUIEREN DESEMBOLSOS DE RECURSOS PÚBLICOS EN ENTIDADES TERRITORIALES</w:t>
      </w:r>
      <w:r w:rsidRPr="003A174E">
        <w:rPr>
          <w:rFonts w:ascii="Georgia" w:hAnsi="Georgia"/>
          <w:i/>
          <w:sz w:val="24"/>
          <w:szCs w:val="24"/>
          <w:lang w:val="es-CO"/>
        </w:rPr>
        <w:t>. Modifica el numeral 6, 7 y el parágrafo 2 del artículo 27 de la Ley 1508 de 2012,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La autorización por parte de la Asamblea o Concejo respectivo, para asumir obligaciones con cargo al presupuesto de vigencias futuras para proyectos de Asociación Público Privada podrá efectuarse en cualquier momento y superar el período de gobierno del respectivo gobernador o alcalde. El plazo de dicha autorización no podrá exceder el plazo previsto en el artículo 6 de la ley 1508 de 2012.</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7. Las vigencias futuras que se expidan deberán cumplir las normas vigentes que regulan la materia y los parámetros previstos en el presente artículo, incluyendo </w:t>
      </w:r>
      <w:r w:rsidRPr="003A174E">
        <w:rPr>
          <w:rFonts w:ascii="Georgia" w:hAnsi="Georgia"/>
          <w:i/>
          <w:sz w:val="24"/>
          <w:szCs w:val="24"/>
          <w:lang w:val="es-CO"/>
        </w:rPr>
        <w:lastRenderedPageBreak/>
        <w:t xml:space="preserve">la aprobación previa de la valoración de riesgos y pasivos contingentes por parte del Ministerio de Hacienda y Crédito Público.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Estas vigencias futuras podrán ser aprobadas en el último año de gobierno, hasta por el plazo de duración de proyecto respectivo.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PARÁGRAFO 2. Para la presentación de estos proyectos al Ministerio de Hacienda y Crédito Público se deberá contar con la validación financiera por parte de alguna de las entidades financieras públicas de segundo piso o estructuradoras públicas del orden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Se exceptúan de la mencionada validación, aquellos proyectos que han sido estructurados por una estructuradora pública del orden nacional o el Departamento Nacional de Planeación.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eastAsia="es-CO"/>
        </w:rPr>
        <w:t xml:space="preserve">ARTÍCULO </w:t>
      </w:r>
      <w:r>
        <w:rPr>
          <w:rFonts w:ascii="Georgia" w:hAnsi="Georgia"/>
          <w:b/>
          <w:i/>
          <w:sz w:val="24"/>
          <w:szCs w:val="24"/>
          <w:lang w:val="es-ES" w:eastAsia="es-CO"/>
        </w:rPr>
        <w:t>122</w:t>
      </w:r>
      <w:r w:rsidRPr="003A174E">
        <w:rPr>
          <w:rFonts w:ascii="Georgia" w:hAnsi="Georgia"/>
          <w:b/>
          <w:i/>
          <w:sz w:val="24"/>
          <w:szCs w:val="24"/>
          <w:lang w:val="es-ES" w:eastAsia="es-CO"/>
        </w:rPr>
        <w:t>°</w:t>
      </w:r>
      <w:r w:rsidRPr="003A174E">
        <w:rPr>
          <w:rFonts w:ascii="Georgia" w:hAnsi="Georgia"/>
          <w:b/>
          <w:i/>
          <w:sz w:val="24"/>
          <w:szCs w:val="24"/>
          <w:lang w:eastAsia="es-CO"/>
        </w:rPr>
        <w:t>.</w:t>
      </w:r>
      <w:r w:rsidRPr="003A174E">
        <w:rPr>
          <w:rFonts w:ascii="Georgia" w:hAnsi="Georgia"/>
          <w:b/>
          <w:i/>
          <w:sz w:val="24"/>
          <w:szCs w:val="24"/>
          <w:lang w:val="es-ES" w:eastAsia="es-CO"/>
        </w:rPr>
        <w:t xml:space="preserve"> </w:t>
      </w:r>
      <w:r w:rsidRPr="003A174E">
        <w:rPr>
          <w:rFonts w:ascii="Georgia" w:hAnsi="Georgia"/>
          <w:b/>
          <w:i/>
          <w:sz w:val="24"/>
          <w:szCs w:val="24"/>
          <w:lang w:eastAsia="es-CO"/>
        </w:rPr>
        <w:t>ASOCIACIONES PÚBLICO-PR</w:t>
      </w:r>
      <w:r w:rsidRPr="003A174E">
        <w:rPr>
          <w:rFonts w:ascii="Georgia" w:hAnsi="Georgia"/>
          <w:b/>
          <w:i/>
          <w:sz w:val="24"/>
          <w:szCs w:val="24"/>
          <w:lang w:val="es-CO" w:eastAsia="es-CO"/>
        </w:rPr>
        <w:t>I</w:t>
      </w:r>
      <w:r w:rsidRPr="003A174E">
        <w:rPr>
          <w:rFonts w:ascii="Georgia" w:hAnsi="Georgia"/>
          <w:b/>
          <w:i/>
          <w:sz w:val="24"/>
          <w:szCs w:val="24"/>
          <w:lang w:eastAsia="es-CO"/>
        </w:rPr>
        <w:t>VADAS PARA ESCENARIOS PÚBLICOS</w:t>
      </w:r>
      <w:r w:rsidRPr="003A174E">
        <w:rPr>
          <w:rFonts w:ascii="Georgia" w:hAnsi="Georgia"/>
          <w:i/>
          <w:sz w:val="24"/>
          <w:szCs w:val="24"/>
          <w:lang w:eastAsia="es-CO"/>
        </w:rPr>
        <w:t xml:space="preserve">. Para el trámite de asociaciones público privadas de iniciativa privada para la construcción, administración, mantenimiento y adecuación de escenarios públicos tales como estadios, coliseos deportivos, centros de </w:t>
      </w:r>
      <w:r w:rsidRPr="003A174E">
        <w:rPr>
          <w:rFonts w:ascii="Georgia" w:hAnsi="Georgia"/>
          <w:i/>
          <w:sz w:val="24"/>
          <w:szCs w:val="24"/>
          <w:lang w:val="es-CO"/>
        </w:rPr>
        <w:t xml:space="preserve">convenciones o similares, los tiempos para la presentación de la factibilidad y su evaluación se reducirán a la mitad.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se presente esta clase de iniciativa, se deberá haber consignado en una fiduciaria un monto equivalente al 1% del valor estimado de la iniciativa para el pago del estudio de la prefactibilidad.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ES"/>
        </w:rPr>
      </w:pPr>
      <w:r w:rsidRPr="003A174E">
        <w:rPr>
          <w:rFonts w:ascii="Georgia" w:hAnsi="Georgia"/>
          <w:b/>
          <w:i/>
          <w:sz w:val="24"/>
          <w:szCs w:val="24"/>
          <w:lang w:val="es-CO"/>
        </w:rPr>
        <w:t>ARTÍCULO</w:t>
      </w:r>
      <w:r>
        <w:rPr>
          <w:rFonts w:ascii="Georgia" w:hAnsi="Georgia"/>
          <w:b/>
          <w:i/>
          <w:sz w:val="24"/>
          <w:szCs w:val="24"/>
          <w:lang w:val="es-ES"/>
        </w:rPr>
        <w:t xml:space="preserve"> 123</w:t>
      </w:r>
      <w:r w:rsidRPr="003A174E">
        <w:rPr>
          <w:rFonts w:ascii="Georgia" w:hAnsi="Georgia"/>
          <w:b/>
          <w:i/>
          <w:sz w:val="24"/>
          <w:szCs w:val="24"/>
          <w:lang w:val="es-ES"/>
        </w:rPr>
        <w:t>º (NUEVO).</w:t>
      </w:r>
      <w:r w:rsidRPr="003A174E">
        <w:rPr>
          <w:rFonts w:ascii="Georgia" w:hAnsi="Georgia"/>
          <w:i/>
          <w:sz w:val="24"/>
          <w:szCs w:val="24"/>
          <w:lang w:val="es-ES"/>
        </w:rPr>
        <w:t xml:space="preserve"> </w:t>
      </w:r>
      <w:r w:rsidRPr="003A174E">
        <w:rPr>
          <w:rFonts w:ascii="Georgia" w:hAnsi="Georgia"/>
          <w:b/>
          <w:i/>
          <w:caps/>
          <w:sz w:val="24"/>
          <w:szCs w:val="24"/>
          <w:lang w:val="es-ES"/>
        </w:rPr>
        <w:t>Evaluación de los proyectos de Asociación Público Privada de iniciativa privada.</w:t>
      </w:r>
      <w:r w:rsidRPr="003A174E">
        <w:rPr>
          <w:rFonts w:ascii="Georgia" w:hAnsi="Georgia"/>
          <w:i/>
          <w:sz w:val="24"/>
          <w:szCs w:val="24"/>
          <w:lang w:val="es-ES"/>
        </w:rPr>
        <w:t xml:space="preserve"> El artículo 19 de la Ley 1882 de 2018 quedará así: </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caps/>
          <w:sz w:val="24"/>
          <w:szCs w:val="24"/>
          <w:lang w:val="es-ES"/>
        </w:rPr>
        <w:t>Artículo 19. Evaluación de los proyectos de Asociación Público Privada de iniciativa privada.</w:t>
      </w:r>
      <w:r w:rsidRPr="003A174E">
        <w:rPr>
          <w:rFonts w:ascii="Georgia" w:hAnsi="Georgia"/>
          <w:i/>
          <w:sz w:val="24"/>
          <w:szCs w:val="24"/>
          <w:lang w:val="es-ES"/>
        </w:rPr>
        <w:t xml:space="preserve"> Los originadores de proyectos de Asociación Pública Privada de iniciativa privada, asumirán por su propia cuenta y riesgo, el costo estimado de su revisión y/o evaluación en la etapa de factibilidad.</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Para el efecto, el originador deberá aportar, según corresponda:</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pStyle w:val="Prrafodelista"/>
        <w:numPr>
          <w:ilvl w:val="0"/>
          <w:numId w:val="12"/>
        </w:numPr>
        <w:spacing w:after="0" w:line="240" w:lineRule="auto"/>
        <w:jc w:val="both"/>
        <w:rPr>
          <w:rFonts w:ascii="Georgia" w:hAnsi="Georgia" w:cs="Arial"/>
          <w:i/>
          <w:sz w:val="24"/>
          <w:szCs w:val="24"/>
        </w:rPr>
      </w:pPr>
      <w:r w:rsidRPr="003A174E">
        <w:rPr>
          <w:rFonts w:ascii="Georgia" w:hAnsi="Georgia" w:cs="Arial"/>
          <w:i/>
          <w:sz w:val="24"/>
          <w:szCs w:val="24"/>
        </w:rPr>
        <w:t>El equivalente a 500 SM</w:t>
      </w:r>
      <w:r>
        <w:rPr>
          <w:rFonts w:ascii="Georgia" w:hAnsi="Georgia" w:cs="Arial"/>
          <w:i/>
          <w:sz w:val="24"/>
          <w:szCs w:val="24"/>
        </w:rPr>
        <w:t>LM</w:t>
      </w:r>
      <w:r w:rsidRPr="003A174E">
        <w:rPr>
          <w:rFonts w:ascii="Georgia" w:hAnsi="Georgia" w:cs="Arial"/>
          <w:i/>
          <w:sz w:val="24"/>
          <w:szCs w:val="24"/>
        </w:rPr>
        <w:t>V en caso de proyectos cuyo presupuesto estimado de inversión sea inferior a 400.000 SM</w:t>
      </w:r>
      <w:r>
        <w:rPr>
          <w:rFonts w:ascii="Georgia" w:hAnsi="Georgia" w:cs="Arial"/>
          <w:i/>
          <w:sz w:val="24"/>
          <w:szCs w:val="24"/>
        </w:rPr>
        <w:t>LM</w:t>
      </w:r>
      <w:r w:rsidRPr="003A174E">
        <w:rPr>
          <w:rFonts w:ascii="Georgia" w:hAnsi="Georgia" w:cs="Arial"/>
          <w:i/>
          <w:sz w:val="24"/>
          <w:szCs w:val="24"/>
        </w:rPr>
        <w:t>V, calculado en precios constantes al momento en que la entidad pública competente una vez finalizada la etapa de prefactibilidad manifiesta que el proyecto es de su interés, o</w:t>
      </w:r>
    </w:p>
    <w:p w:rsidR="00EC45FF" w:rsidRPr="003A174E" w:rsidRDefault="00EC45FF" w:rsidP="00EC45FF">
      <w:pPr>
        <w:pStyle w:val="Prrafodelista"/>
        <w:numPr>
          <w:ilvl w:val="0"/>
          <w:numId w:val="12"/>
        </w:numPr>
        <w:spacing w:after="0" w:line="240" w:lineRule="auto"/>
        <w:jc w:val="both"/>
        <w:rPr>
          <w:rFonts w:ascii="Georgia" w:hAnsi="Georgia" w:cs="Arial"/>
          <w:i/>
          <w:sz w:val="24"/>
          <w:szCs w:val="24"/>
        </w:rPr>
      </w:pPr>
      <w:r w:rsidRPr="003A174E">
        <w:rPr>
          <w:rFonts w:ascii="Georgia" w:hAnsi="Georgia" w:cs="Arial"/>
          <w:i/>
          <w:sz w:val="24"/>
          <w:szCs w:val="24"/>
        </w:rPr>
        <w:t xml:space="preserve">El equivalente al 0,1% del presupuesto estimado de inversión para proyectos cuyo presupuesto estimado de inversión sea igual o superior a </w:t>
      </w:r>
      <w:r w:rsidRPr="003A174E">
        <w:rPr>
          <w:rFonts w:ascii="Georgia" w:hAnsi="Georgia" w:cs="Arial"/>
          <w:i/>
          <w:sz w:val="24"/>
          <w:szCs w:val="24"/>
        </w:rPr>
        <w:lastRenderedPageBreak/>
        <w:t>400.000 SM</w:t>
      </w:r>
      <w:r>
        <w:rPr>
          <w:rFonts w:ascii="Georgia" w:hAnsi="Georgia" w:cs="Arial"/>
          <w:i/>
          <w:sz w:val="24"/>
          <w:szCs w:val="24"/>
        </w:rPr>
        <w:t>LM</w:t>
      </w:r>
      <w:r w:rsidRPr="003A174E">
        <w:rPr>
          <w:rFonts w:ascii="Georgia" w:hAnsi="Georgia" w:cs="Arial"/>
          <w:i/>
          <w:sz w:val="24"/>
          <w:szCs w:val="24"/>
        </w:rPr>
        <w:t>V, calculado en precios constantes al momento en que la entidad pública competente una vez finalizada la etapa de prefactibilidad manifiesta que el proyecto es de su interés.</w:t>
      </w:r>
    </w:p>
    <w:p w:rsidR="00EC45FF" w:rsidRPr="003A174E" w:rsidRDefault="00EC45FF" w:rsidP="00EC45FF">
      <w:pPr>
        <w:spacing w:after="0"/>
        <w:ind w:left="36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La administración y manejo de los recursos aportados por el originador destinados a la revisión y/o evaluación del proyecto en etapa de factibilidad se realizará a través de un patrimonio autónomo que constituirá el originador. Los costos que genere la administración de dicho patrimonio autónomo deberán ser cubiertos por el originador de la iniciativa privada.</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La entidad estatal encargada de la revisión y/o evaluación del proyecto será Ia beneficiaria del patrimonio autónomo y la encargada de autorizar la celebración de los contratos requeridos para el efecto, así como autorizar los pagos a que hubiere lugar en desarrollo de los mismos.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El costo estimado de la evaluación del proyecto en la etapa de factibilidad deberá girarse al patrimonio autónomo en el plazo establecido por la entidad al momento de pronunciarse sobre el mismo una vez finalizada la etapa de prefactibilidad. En caso de que el originador no consigne el valor de la evaluación del proyecto la entidad estatal no adelantará su respectiva evaluación.</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Finalizada la evaluación del proyecto, se procederá a la liquidación del patrimonio autónomo y sus excedentes si los hubiere serán consignados a orden del tesoro nacional.</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Pr>
          <w:rFonts w:ascii="Georgia" w:hAnsi="Georgia"/>
          <w:b/>
          <w:i/>
          <w:sz w:val="24"/>
          <w:szCs w:val="24"/>
          <w:lang w:val="es-CO"/>
        </w:rPr>
        <w:t>ARTÍCULO 124</w:t>
      </w:r>
      <w:r w:rsidRPr="003A174E">
        <w:rPr>
          <w:rFonts w:ascii="Georgia" w:hAnsi="Georgia"/>
          <w:b/>
          <w:i/>
          <w:sz w:val="24"/>
          <w:szCs w:val="24"/>
          <w:lang w:val="es-CO"/>
        </w:rPr>
        <w:t>°. SISTEMA DE RECAUDO Y SISTEMA DE GESTIÓN Y CONTROL DE FLOTA DE TRANSPORTE</w:t>
      </w:r>
      <w:r w:rsidRPr="003A174E">
        <w:rPr>
          <w:rFonts w:ascii="Georgia" w:hAnsi="Georgia"/>
          <w:i/>
          <w:sz w:val="24"/>
          <w:szCs w:val="24"/>
          <w:lang w:val="es-CO"/>
        </w:rPr>
        <w:t xml:space="preserve">. </w:t>
      </w:r>
      <w:r w:rsidRPr="003A174E">
        <w:rPr>
          <w:rFonts w:ascii="Georgia" w:hAnsi="Georgia"/>
          <w:i/>
          <w:sz w:val="24"/>
          <w:szCs w:val="24"/>
        </w:rPr>
        <w:t xml:space="preserve">Los sistemas de transporte que sean cofinanciados con recursos de la nación, adoptarán un sistema de recaudo centralizado, así como un sistema de gestión y control de flota, que integre los subsistemas de transporte complementario y de transporte masivo, integrado, estratégico o regional, utilizando mecanismos que así lo permitan, en especial el sistema de recaudo unificado, el cual permitirá el pago electrónico y en efectivo validado por medios electrónicos, y los sistemas de compensación entre </w:t>
      </w:r>
      <w:r w:rsidRPr="003A174E">
        <w:rPr>
          <w:rFonts w:ascii="Georgia" w:hAnsi="Georgia"/>
          <w:i/>
          <w:sz w:val="24"/>
          <w:szCs w:val="24"/>
          <w:lang w:val="es-ES"/>
        </w:rPr>
        <w:t>operadores, de conformidad con lo dispuesto por la autoridad de transporte competente de acuerdo con los resultados de los estudios técnicos.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Se entiende como recaudo centralizado, aquel sistema mediante el cual se recaudan los dineros por concepto de la tarifa al usuario del sistema de transporte, los cuales se administran a través de un patrimonio autónomo o cualquier otro esquema de administración de recursos autorizado y administrado por una entidad vigilada por la Superintendencia Financiera de Colombia, constituido por el agente recaudador el cual estará sujeto a la auditoría permanente e irrestricta de la autoridad de transporte correspondiente.</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lastRenderedPageBreak/>
        <w:t>Los sistemas de recaudo centralizado, de control de flota y de información y servicio al usuario, se constituyen en la herramienta tecnológica que controla la calidad, la cobertura y la continuidad del servicio del respectivo sistema de transporte, que deberá ser interoperable y suministrar información para que las autoridades definan políticas de movilidad, incluyendo demanda, oferta, tarifa y derechos de participación de los agentes. La totalidad de la información recolectada es propiedad del ente territorial o quien este delegue, teniendo libre acceso a las bases de datos.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En los sistemas de transporte masivos, ni los operadores o empresas de transporte, ni sus vinculados económicos podrán participar en la operación y administración de sistema de recaudo, salvo que se trate de una entidad pública. Vinculados económicos entendidos como tales los que se encuentren en los supuestos previstos por los artículos 450 a 452 del Estatuto Tributario.</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Para los sistemas estratégicos de transporte público una entidad pública, o el agente operador de transporte o sus vinculados podrán operar el sistema de recaudo centralizado, caso en el cual el Ministerio de Transporte reglamentará las condiciones, garantizando la estabilidad jurídica de los actos administrativos expedidos a la entrada en vigencia de la presente ley por las entidades territoriales. Cuando existan dos o más agentes operadores de transporte, estos y sus vinculados económicos podrán participar en la operación y administración del sistema de recaudo, siempre y cuando todos ellos conformen un único agente recaudador; cuando no se logre la participación de todos los operadores de transporte en el agente de recaudo, la entidad territorial, el ente gestor o quien estos deleguen deberá adjudicar la operación del servicio de recaudo centralizado mediante licitación pública o convenio interadministrativo.</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La autoridad competente cancelará las habilitaciones correspondientes a las empresas de transporte masivo, integrado, estratégico, regional o complementario que no se integren al sistema de recaudo centralizado.</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lang w:val="es-ES"/>
        </w:rPr>
        <w:t>PARÁGRAFO PRIMERO.</w:t>
      </w:r>
      <w:r w:rsidRPr="003A174E">
        <w:rPr>
          <w:rFonts w:ascii="Georgia" w:hAnsi="Georgia"/>
          <w:i/>
          <w:sz w:val="24"/>
          <w:szCs w:val="24"/>
          <w:lang w:val="es-ES"/>
        </w:rPr>
        <w:t xml:space="preserve"> La entidad territorial, el ente gestor o quien estos deleguen podrá ostentar la calidad de operador del sistema de recaudo, del sistema de control y gestión de flota y del sistema de información al usuario, siempre y cuando los estudios así lo recomienden. En todo caso se garantizará la estabilidad jurídica de los actos administrativos expedidos a la entrada en vigor de la presente ley por las entidades territoriales. El Gobierno Nacional reglamentará las condiciones técnicas, operativas y de seguridad de los sistemas de recaudo en el país.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lang w:val="es-ES"/>
        </w:rPr>
        <w:t>PARÁGRAFO SEGUNDO</w:t>
      </w:r>
      <w:r w:rsidRPr="003A174E">
        <w:rPr>
          <w:rFonts w:ascii="Georgia" w:hAnsi="Georgia"/>
          <w:i/>
          <w:sz w:val="24"/>
          <w:szCs w:val="24"/>
          <w:lang w:val="es-ES"/>
        </w:rPr>
        <w:t>. Los agentes recaudadores de transporte público podrán ser habilitados</w:t>
      </w:r>
      <w:r w:rsidRPr="003A174E">
        <w:rPr>
          <w:rFonts w:ascii="Georgia" w:hAnsi="Georgia"/>
          <w:i/>
          <w:sz w:val="24"/>
          <w:szCs w:val="24"/>
        </w:rPr>
        <w:t xml:space="preserve"> por la autoridad competente para que además de recaudar la tarifa del servicio de transporte público, en sus diferentes modalidades, puedan </w:t>
      </w:r>
      <w:r w:rsidRPr="003A174E">
        <w:rPr>
          <w:rFonts w:ascii="Georgia" w:hAnsi="Georgia"/>
          <w:i/>
          <w:sz w:val="24"/>
          <w:szCs w:val="24"/>
        </w:rPr>
        <w:lastRenderedPageBreak/>
        <w:t>recaudar el precio de otros productos o servicios afines o conexos a la movilidad. Para el efecto en el patrimonio autónomo o esquema financiero constituido para el recaudo centralizado se deberán generar subcuentas por cada concepto de pago.</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125</w:t>
      </w:r>
      <w:r w:rsidRPr="003A174E">
        <w:rPr>
          <w:rFonts w:ascii="Georgia" w:hAnsi="Georgia"/>
          <w:b/>
          <w:i/>
          <w:sz w:val="24"/>
          <w:szCs w:val="24"/>
          <w:lang w:val="es-CO"/>
        </w:rPr>
        <w:t>°. NUEVAS FUENTES DE MATERIALES PARA MANTENIMIENTO, MEJORAMIENTO Y REHABILITACIÓN DE VÍAS TERCIARIAS Y PARA EL PROGRAMA “COLOMBIA RURAL”.</w:t>
      </w:r>
      <w:r w:rsidRPr="003A174E">
        <w:rPr>
          <w:rFonts w:ascii="Georgia" w:hAnsi="Georgia"/>
          <w:i/>
          <w:sz w:val="24"/>
          <w:szCs w:val="24"/>
          <w:lang w:val="es-CO"/>
        </w:rPr>
        <w:t xml:space="preserve"> En el evento que no utilicen fuentes de material titulado y licenciado ambientalmente para el mantenimiento, mejoramiento y rehabilitación de vías terciarias; previo a la ejecución de las obras, la entidad territorial definirá conjuntamente con la autoridad ambiental regional y la autoridad minera competentes, la ubicación y el volumen estimado de las fuentes de material requerido para el mantenimiento, mejoramiento y rehabilitación de vías terciarias y del programa “Colombia Rural” en el respectivo municipio. Con base en esta información la autoridad ambiental, una vez otorgada la autorización temporal por parte de la autoridad minera competente, procederá a pronunciarse, en un término máximo de dos (2) meses sobre la viabilidad de la licencia ambiental a estas fuentes de materiales, cuya vigencia no podrá ser inferior a la de la autorización minera.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El Ministerio de Ambiente y Desarrollo Sostenible expedirá los términos de referencia para la elaboración del estudio de impacto ambiental de la licencia ambiental de que trata el presente artículo, dentro del mes siguiente a la expedición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126º</w:t>
      </w:r>
      <w:r w:rsidRPr="003A174E">
        <w:rPr>
          <w:rFonts w:ascii="Georgia" w:hAnsi="Georgia"/>
          <w:b/>
          <w:i/>
          <w:sz w:val="24"/>
          <w:szCs w:val="24"/>
          <w:lang w:val="es-CO"/>
        </w:rPr>
        <w:t xml:space="preserve"> (NUEVO) DESARROLLO DE VÍAS TERCIARIAS CON RECURSOS DEL OCAD - PAZ. </w:t>
      </w:r>
      <w:r w:rsidRPr="003A174E">
        <w:rPr>
          <w:rFonts w:ascii="Georgia" w:hAnsi="Georgia"/>
          <w:i/>
          <w:sz w:val="24"/>
          <w:szCs w:val="24"/>
          <w:lang w:val="es-CO"/>
        </w:rPr>
        <w:t>A partir de la expedición de la presente Ley y durante su vigencia, se podrá financiar el desarrollo de vías terciarias con recursos del OCAD - PAZ hasta por la suma de un billón de pesos, utilizando como mecanismo de financiación o garantía cualquiera de los instrumentos previstos en la normatividad vigente y aplicable. La contratación para el desarrollo de este tipo de proyectos, se realizará atendiendo las normas vigentes, en particular las leyes 1682 de 2013 y 1882 de 2018, y aquellas que las modifiquen o sustituyan.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la priorización de las vías a intervenir, se tendrá en cuenta la vocación agropecuaria de los municipios objeto de interconexión.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financiación de los proyectos de qué trata este artículo podrá complementarse con diferentes fuentes o mecanismos, entre otros, recursos provenientes de Asociaciones Público - Privadas - APP, obras por impuestos y otros aportes del Presupuesto General de la Nación.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color w:val="000000" w:themeColor="text1"/>
          <w:sz w:val="24"/>
          <w:szCs w:val="24"/>
          <w:lang w:val="es-CO"/>
        </w:rPr>
        <w:t>ARTÍCULO 127</w:t>
      </w:r>
      <w:r w:rsidRPr="003A174E">
        <w:rPr>
          <w:rFonts w:ascii="Georgia" w:hAnsi="Georgia"/>
          <w:b/>
          <w:i/>
          <w:color w:val="000000" w:themeColor="text1"/>
          <w:sz w:val="24"/>
          <w:szCs w:val="24"/>
          <w:lang w:val="es-CO"/>
        </w:rPr>
        <w:t>°. PERMISOS ESPECIALES Y TEMPORALES DE VEHÍCULOS COMBINADOS DE CARGA (VCC).</w:t>
      </w:r>
      <w:r w:rsidRPr="003A174E">
        <w:rPr>
          <w:rFonts w:ascii="Georgia" w:hAnsi="Georgia"/>
          <w:i/>
          <w:color w:val="000000" w:themeColor="text1"/>
          <w:sz w:val="24"/>
          <w:szCs w:val="24"/>
          <w:lang w:val="es-CO"/>
        </w:rPr>
        <w:t xml:space="preserve"> </w:t>
      </w:r>
      <w:r w:rsidRPr="003A174E">
        <w:rPr>
          <w:rFonts w:ascii="Georgia" w:hAnsi="Georgia"/>
          <w:i/>
          <w:color w:val="000000" w:themeColor="text1"/>
          <w:sz w:val="24"/>
          <w:szCs w:val="24"/>
        </w:rPr>
        <w:t xml:space="preserve">El Instituto Nacional de Vías concederá permisos especiales, individuales o colectivos, temporales, con una vigencia máxima de dos (2) años, para el transporte de carga divisible por las vías </w:t>
      </w:r>
      <w:r w:rsidRPr="003A174E">
        <w:rPr>
          <w:rFonts w:ascii="Georgia" w:hAnsi="Georgia"/>
          <w:i/>
          <w:color w:val="000000" w:themeColor="text1"/>
          <w:sz w:val="24"/>
          <w:szCs w:val="24"/>
        </w:rPr>
        <w:lastRenderedPageBreak/>
        <w:t xml:space="preserve">nacionales, concesionadas o no, con vehículos combinados de carga, de conformidad con los criterios técnicos y jurídicos, determinados por el Ministerio de Transporte y el Instituto Nacional de Vías, relativos a la seguridad vial, infraestructura, movilidad y logística. Tales permisos se concederán por el Instituto Nacional de Vías hasta tanto se establezca la regulación que especifique los </w:t>
      </w:r>
      <w:r w:rsidRPr="003A174E">
        <w:rPr>
          <w:rFonts w:ascii="Georgia" w:hAnsi="Georgia"/>
          <w:i/>
          <w:sz w:val="24"/>
          <w:szCs w:val="24"/>
          <w:lang w:val="es-CO"/>
        </w:rPr>
        <w:t xml:space="preserve">criterios definitivos para la operación de los vehículos combinados de carga siempre y cuando los estudios técnicos determinen su viabilidad.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rPr>
      </w:pPr>
      <w:r w:rsidRPr="003A174E">
        <w:rPr>
          <w:rFonts w:ascii="Georgia" w:hAnsi="Georgia"/>
          <w:i/>
          <w:sz w:val="24"/>
          <w:szCs w:val="24"/>
          <w:lang w:val="es-CO"/>
        </w:rPr>
        <w:t>Cua</w:t>
      </w:r>
      <w:r w:rsidRPr="003A174E">
        <w:rPr>
          <w:rFonts w:ascii="Georgia" w:hAnsi="Georgia"/>
          <w:i/>
          <w:color w:val="000000" w:themeColor="text1"/>
          <w:sz w:val="24"/>
          <w:szCs w:val="24"/>
        </w:rPr>
        <w:t>ndo el permiso verse sobre vías concesionadas, se deberá contar con el concepto previo de la Agencia Nacional de Infraestructura.</w:t>
      </w:r>
    </w:p>
    <w:p w:rsidR="00EC45FF" w:rsidRPr="003A174E" w:rsidRDefault="00EC45FF" w:rsidP="00EC45FF">
      <w:pPr>
        <w:spacing w:afterLines="20" w:after="48" w:line="240" w:lineRule="auto"/>
        <w:jc w:val="both"/>
        <w:rPr>
          <w:rFonts w:ascii="Georgia" w:hAnsi="Georgia"/>
          <w:i/>
          <w:color w:val="000000" w:themeColor="text1"/>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128</w:t>
      </w:r>
      <w:r w:rsidRPr="003A174E">
        <w:rPr>
          <w:rFonts w:ascii="Georgia" w:hAnsi="Georgia"/>
          <w:b/>
          <w:i/>
          <w:sz w:val="24"/>
          <w:szCs w:val="24"/>
          <w:lang w:val="es-CO"/>
        </w:rPr>
        <w:t xml:space="preserve">°. VEHÍCULOS CON MATRÍCULA EXTRANJERA EN ZONAS DE FRONTERA CUYO MODELO NO SUPERE EL AÑO 2016. </w:t>
      </w:r>
      <w:r w:rsidRPr="003A174E">
        <w:rPr>
          <w:rFonts w:ascii="Georgia" w:hAnsi="Georgia"/>
          <w:i/>
          <w:sz w:val="24"/>
          <w:szCs w:val="24"/>
          <w:lang w:val="es-CO"/>
        </w:rPr>
        <w:t xml:space="preserve">Los residentes de las Unidades Especiales de Desarrollo Fronterizo - UEDF de que trata el artículo 4 de la Ley 191 de 1995, propietarios o tenedores de vehículos, motocicletas y embarcaciones fluviales menores, de matrícula del país vecino, cuyo modelo no supere el año 2016, que al 19 de agosto de 2015 hubieren ingresado y se encuentren circulando en la jurisdicción de los departamentos al que pertenecen las UEDF, deberán proceder al registro de dichos bienes ante los municipios de la UEDF o ante las autoridades locales que estos deleguen, dentro de los tres (3) meses siguientes al vencimiento del plazo de que trata el siguiente inciso, con el fin de poder circular de manera legal dentro de la jurisdicción de ese departamento.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Dentro de los treinta (30) días hábiles siguientes a la promulgación de la presente Ley, el municipio de la UEDF informará a los interesados el procedimiento para adelantar el registro de que trata el presente artículo, el cual deberá contener como mínimo la siguiente información: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La identificación del propietario o tenedor, indicando el número de identificación correspondiente.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La individualización del bien objeto de registro, indicando cuando aplique para el tipo de bien, el número VIN, el número de serie de motor, o el número de serie que identifique el bien, el número de placa.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Declaración del propietario o tenedor en la que manifieste: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3.1. Ser residente en la Unidad Especial de Desarrollo Fronterizo en la que está realizando el registro correspondiente;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3.2. Que el origen del bien objeto de registro es legal.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Esta declaración se entenderá prestada bajo la gravedad del juramento con la firma del registro correspondiente.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Para vehículos y motocicletas deberá acreditar la existencia del Certificado de Revisión Técnico – mecánica y del Seguro Obligatorio de Accidentes de Tránsito, vigentes.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bienes que hayan sido objeto del registro de que trata el presente artículo, no deberán ser sometidos al trámite de internación temporal previsto en el Decreto 2229 de 2017 o en las normas que lo modifiquen.</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El Registro de que trata el presente artículo deberá exhibirse ante las autoridades que lo requieran como documento que acredita la circulación legal permanente del bien, dentro de la jurisdicción del respectivo departamento.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El registro de que trata el presente artículo no determina la propiedad cuando este sea adelantado por el poseedor. Así mismo, no subsana irregularidades en su posesión o eventuales hechos ilícitos que se hayan presentado en su adquisición, y su disposición se encuentra restringida a la circulación del bien dentro de la jurisdicción del departamento en donde se hizo el registro.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TERCERO. </w:t>
      </w:r>
      <w:r w:rsidRPr="003A174E">
        <w:rPr>
          <w:rFonts w:ascii="Georgia" w:hAnsi="Georgia"/>
          <w:i/>
          <w:sz w:val="24"/>
          <w:szCs w:val="24"/>
          <w:lang w:val="es-CO"/>
        </w:rPr>
        <w:t>La Dirección de Impuestos y Aduanas Nacionales podrá aprehender y decomisar los bienes de que trata el presente artículo en los siguientes casos: i) Cuando los vehículos, motocicletas y embarcaciones fluviales menores, de matrícula del país vecino, no cuenten con el registro dentro de los plazos y términos aquí señalados y ii) cuando se encuentren vehículos, motocicletas y embarcaciones fluviales menores, de matrícula del país vecino, por fuera de la jurisdicción del departamento que fuera señalada en el Registro, de que trata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129</w:t>
      </w:r>
      <w:r w:rsidRPr="003A174E">
        <w:rPr>
          <w:rFonts w:ascii="Georgia" w:hAnsi="Georgia"/>
          <w:b/>
          <w:i/>
          <w:sz w:val="24"/>
          <w:szCs w:val="24"/>
          <w:lang w:val="es-CO"/>
        </w:rPr>
        <w:t xml:space="preserve">°. INTERNACIÓN TEMPORAL DE VEHÍCULOS CON MATRÍCULA EXTRANJERA EN ZONAS DE FRONTERA CUYO MODELO SEA AÑO 2017 Y SIGUIENTES. </w:t>
      </w:r>
      <w:r w:rsidRPr="003A174E">
        <w:rPr>
          <w:rFonts w:ascii="Georgia" w:hAnsi="Georgia"/>
          <w:i/>
          <w:sz w:val="24"/>
          <w:szCs w:val="24"/>
          <w:lang w:val="es-CO"/>
        </w:rPr>
        <w:t>Lo previsto en el artículo anterior no aplica para vehículos, motocicletas y embarcaciones fluviales menores, de matrícula del país vecino, cuyo modelo sea posterior al año 2016. En consecuencia, los bienes cuyo modelo sea 2017 y posteriores, dentro de los tres (3) meses siguientes a la entrada en vigencia de la presente Ley deberán cumplir los requisitos previstos en el Decreto 2229 de 2017, modificado por el Decreto 2453 de 2018, so pena de la aprehensión y decomiso realizada por la Dirección de Impuestos y Aduanas Nacionales.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130º</w:t>
      </w:r>
      <w:r w:rsidRPr="003A174E">
        <w:rPr>
          <w:rFonts w:ascii="Georgia" w:hAnsi="Georgia"/>
          <w:b/>
          <w:i/>
          <w:sz w:val="24"/>
          <w:szCs w:val="24"/>
          <w:lang w:val="es-CO"/>
        </w:rPr>
        <w:t xml:space="preserve">. IMPUESTO DE VEHICULOS AUTOMOTORES PARA VEHÍCULOS DE MATRÍCULA EXTRANJERA EN ZONAS DE FRONTERA. </w:t>
      </w:r>
      <w:r w:rsidRPr="003A174E">
        <w:rPr>
          <w:rFonts w:ascii="Georgia" w:hAnsi="Georgia"/>
          <w:i/>
          <w:sz w:val="24"/>
          <w:szCs w:val="24"/>
          <w:lang w:val="es-CO"/>
        </w:rPr>
        <w:t xml:space="preserve">Los vehículos, motocicletas y embarcaciones fluviales menores, de matrícula de un país vecino inscritos en el registro de que trata el artículo 95 de </w:t>
      </w:r>
      <w:r w:rsidRPr="003A174E">
        <w:rPr>
          <w:rFonts w:ascii="Georgia" w:hAnsi="Georgia"/>
          <w:i/>
          <w:sz w:val="24"/>
          <w:szCs w:val="24"/>
          <w:lang w:val="es-CO"/>
        </w:rPr>
        <w:lastRenderedPageBreak/>
        <w:t>esta Ley, y aquellos que se hayan acogido a la medida de internación temporal de que trata el artículo anterior, causarán anualmente, en su totalidad, y a favor de las Unidades Especiales de Desarrollo Fronterizo, el impuesto de vehículos automotores de que trata la Ley 488 de 1998. El Ministerio de Transporte fijará la tabla de avalúo de los vehículos a que se refiere 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 xml:space="preserve">SUBSECCIÓN 6 </w:t>
      </w: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LEGALIDAD - OTRAS DISPOSICIONES</w:t>
      </w:r>
    </w:p>
    <w:p w:rsidR="00EC45FF" w:rsidRPr="003A174E" w:rsidRDefault="00EC45FF" w:rsidP="00EC45FF">
      <w:pPr>
        <w:spacing w:afterLines="20" w:after="48" w:line="240" w:lineRule="auto"/>
        <w:jc w:val="center"/>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131</w:t>
      </w:r>
      <w:r w:rsidRPr="003A174E">
        <w:rPr>
          <w:rFonts w:ascii="Georgia" w:hAnsi="Georgia"/>
          <w:b/>
          <w:i/>
          <w:sz w:val="24"/>
          <w:szCs w:val="24"/>
          <w:lang w:val="es-CO"/>
        </w:rPr>
        <w:t>º. REQUISITOS PARA LA CREACIÓN DE DISTRITOS</w:t>
      </w:r>
      <w:r w:rsidRPr="003A174E">
        <w:rPr>
          <w:rFonts w:ascii="Georgia" w:hAnsi="Georgia"/>
          <w:i/>
          <w:sz w:val="24"/>
          <w:szCs w:val="24"/>
          <w:lang w:val="es-CO"/>
        </w:rPr>
        <w:t xml:space="preserve">. Modifíquese el artículo 8 de la Ley 1617 de 2013,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ARTICULO 8. REQUISITOS PARA LA CREACIÓN DE DISTRITOS. La ley podrá decretar la conformación de nuevos distritos, siempre que se cumplan las siguientes condiciones: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Contar por lo menos con quinientos mil (500.000) habitantes, según certificación expedida por el Departamento Administrativo Nacional de Estadística – DANE, de acuerdo con el último censo realizado por esta entidad.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Estar ubicado en zonas costeras, ser capital de departamento, municipio fronterizo o contar con declaratoria de Patrimonio Histórico de la Humanidad por parte de la Unesco.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Presentar un documento con la sustentación técnica del potencial para el desarrollo de puertos o para el desarrollo de actividades turísticas y/o culturales, que acredite la capacidad institucional, de gestión y financiación para el desarrollo de dicha vocación.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 Presentar un análisis de la capacidad fiscal que demuestre su suficiencia para asumir las necesidades institucionales y estructura administrativa asociada a la conformación de localidades.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Presentar los resultados de la diligencia de deslinde efectuada por el Instituto Geográfico Agustín Codazzi -IGAC de conformidad con lo establecido en el artículo 10 de la Ley 1617 de 2013.</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Contar con concepto previo y favorable de los concejos municipales.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Los distritos conformados con anterioridad a la entrada en vigencia de la presente Ley continuarán sometiéndose a sus respectivas normas de creación; Los municipios que hayan iniciado el trámite para convertirse en Distritos antes de la entrada en vigencia de la presente Ley, seguirán rigiéndose por lo contemplado en la Ley 1673 de 2013.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132</w:t>
      </w:r>
      <w:r w:rsidRPr="003A174E">
        <w:rPr>
          <w:rFonts w:ascii="Georgia" w:hAnsi="Georgia"/>
          <w:b/>
          <w:i/>
          <w:sz w:val="24"/>
          <w:szCs w:val="24"/>
          <w:lang w:val="es-CO"/>
        </w:rPr>
        <w:t>º. FUSIÓN Y DENOMINACIÓN</w:t>
      </w:r>
      <w:r w:rsidRPr="003A174E">
        <w:rPr>
          <w:rFonts w:ascii="Georgia" w:hAnsi="Georgia"/>
          <w:i/>
          <w:sz w:val="24"/>
          <w:szCs w:val="24"/>
          <w:lang w:val="es-CO"/>
        </w:rPr>
        <w:t xml:space="preserve">. Fusiónese el Departamento Administrativo de Ciencia, Tecnología e Innovación – COLCIENCIAS, en el Ministerio de Ciencia, Tecnología e Innovación, el cual continuará con la misma denominación y como organismo principal de la Administración Pública del Sector Administrativo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de Ciencia, Tecnología e Innovación tendrá como domicilio principal la ciudad de Bogotá D.C., y cumplirá los objetivos señalados en el acto de creación contenido en la Ley 1951 de 2019.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Gobierno nacional, en ejercicio de las competencias permanentes conferidas mediante la Ley 489 de 1998, adoptará la estructura interna y la planta de personal que requiera el Ministerio de Ciencia, Tecnología e Innovación para su funcionamiento. Los actuales servidores de la planta de personal del Departamento Administrativo de Ciencia, Tecnología e Innovación continuarán ejerciendo las atribuciones a ellos asignadas, bajo la misma estructura y percibiendo la misma remuneración, hasta tanto sean incorporados a la planta de personal adoptada de conformidad con lo dispuesto en 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Dentro de lo seis (6) meses siguientes a la expedición de la presente Ley, el Director del Departamento Administrativo de Ciencia, Tecnología e Innovación deberá ordenar y ejecutar las medidas administrativas necesarias, así como la adecuación y operación de los sistemas contables, financieros, de tesorería, almacenes y demás servicios de apoyo, para asegurar la correcta puesta en funcionamiento del Ministerio. Los acuerdos, contratos y convenios vigentes al momento de la expedición de esta Ley, suscritos por el Departamento Administrativo de Ciencia, Tecnología e Innovación se entienden subrogados al Ministerio de Ciencia, Tecnología e Innovación, quien continuará con su ejecución en los mismos términos y condiciones, sin que para ello sea necesaria la suscripción de documento adicional alguno.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 partir de la fecha de expedición de la presente Ley, se entienden transferidos los derechos y bienes muebles e inmuebles, así como subrogadas las obligaciones en las que sea parte el Departamento Administrativo de Ciencia, Tecnología e Innovación al Ministerio de Ciencia, Tecnología e Innovación, en los mismos términos y condiciones bajo las cuales se encuentran pactadas.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procedimientos administrativos, las acciones constitucionales y, en general, todos los procesos judiciales en los que sea parte el Departamento Administrativo de Ciencia, Tecnología e Innovación continuarán siendo atendidos por el Ministerio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de Ciencia, Tecnología e Innovación continuará a cargo del Fondo Nacional de Financiamiento para la Ciencia, la Tecnología y la Innovación, Fondo Francisco José de Caldas y cumpliendo las funciones que en relación con los demás fondos le fueron asignadas por la Constitución y la Ley al Departamento Administrativo de Ciencia, Tecnología e Innovación – COLCIENCIAS.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 partir de la entrada en vigencia de la presente Ley, todas las referencias que hagan las normas vigentes al Departamento Administrativo de Ciencia, Tecnología e Innovación, se entenderán efectuadas al Ministerio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todos los efectos legales, el Ministerio de Ciencia, Tecnología e Innovación creado mediante la Ley 1951 de 2019, sustituye al Departamento Administrativo de Ciencia, Tecnología e Innovación.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133</w:t>
      </w:r>
      <w:r w:rsidRPr="003A174E">
        <w:rPr>
          <w:rFonts w:ascii="Georgia" w:hAnsi="Georgia"/>
          <w:b/>
          <w:i/>
          <w:sz w:val="24"/>
          <w:szCs w:val="24"/>
          <w:lang w:val="es-CO"/>
        </w:rPr>
        <w:t>º. OBJETIVOS GENERALES Y ESPECÍFICOS DEL MINISTERIO DE CIENCIA, TECNOLOGÍA E INNOVACIÓN</w:t>
      </w:r>
      <w:r w:rsidRPr="003A174E">
        <w:rPr>
          <w:rFonts w:ascii="Georgia" w:hAnsi="Georgia"/>
          <w:i/>
          <w:sz w:val="24"/>
          <w:szCs w:val="24"/>
          <w:lang w:val="es-CO"/>
        </w:rPr>
        <w:t xml:space="preserve">. Modifíquese el artículo 2 de la Ley 1951 de 2019,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2. OBJETIVOS GENERALES Y ESPECÍFICOS. Por medio de la presente Ley se reconocen y actualizan los derechos de los ciudadanos y los deberes del Estado en materia del desarrollo del conocimiento científico, tecnológico y de innovación, que consolidan los avances hechos por las Leyes 29 de 1990 y 1286 de 2009, mediante los siguientes objetivos generales y específicos: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OBJETIVOS GENERALES: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Formular la política pública de ciencia, tecnología e innovación del país.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Establecer estrategias de transferencia y apropiación Social de la Ciencia, la Tecnología, la Innovación para la consolidación de una sociedad basada en el conocimiento.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Impulsar el desarrollo científico, tecnológico y la innovación de la Nación, programados en la Constitución Política de 1991 y en el Plan Nacional de Desarrollo, de acuerdo con las orientaciones trazadas por el Gobierno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4. Garantizar las condiciones necesarias para que los desarrollos científicos, tecnológicos e innovadores, se relacionen con el sector productivo y favorezcan la productividad y la competitividad.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5. Velar por la consolidación y fortalecimiento del Sistema Nacional de Ciencia, Tecnología e Innovación - SNCTI.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OBJETIVOS ESPECÍFICOS.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Fortalecer una cultura basada en la generación, apropiación y divulgación del conocimiento y la investigación científica, el desarrollo tecnológico, la innovación y el aprendizaje permanente.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Definir las bases para la formulación de un Plan Nacional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Incorporar la Ciencia, Tecnología e Innovación, como ejes transversales de la política económica y social del país.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 Fortalecer el Sistema Nacional de Ciencia, Tecnología e Innovación - SNCTI, otorgando al nuevo Ministerio el liderazgo que conlleve a la óptima articulación de las organizaciones públicas y privadas, regionales, nacionales e internacionales, que permitan el desarrollo de una sociedad del conocimiento.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Definir las instancias e instrumentos administrativos y financieros por medio de los cuales se promueve la destinación de recursos públicos y privados al fomento de la Ciencia, Tecnología e Innovación.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6. Articular y optimizar las instancias de liderazgo, coordinación y ejecución del Gobierno nacional y la participación de los diferentes actores de la política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7. Fortalecer el desarrollo regional a través de políticas integrales de descentralización de las actividades científicas, de desarrollo tecnológico y de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Fortalecer la internacionalización de las actividades científicas, de desarrollo tecnológico y de innovación, de acuerdo con las dinámicas internacionales.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9. Orientar el fomento de actividades de ciencia, tecnología e innovación hacia el mejoramiento de la competitividad, estableciendo vínculos desde el Sistema Nacional de Ciencia, Tecnología e Innovación - SNCTI, con otros sistemas tales como el Sistema Nacional de Innovación Agropecuaria - SNIA, el Sistema Nacional </w:t>
      </w:r>
      <w:r w:rsidRPr="003A174E">
        <w:rPr>
          <w:rFonts w:ascii="Georgia" w:hAnsi="Georgia"/>
          <w:i/>
          <w:sz w:val="24"/>
          <w:szCs w:val="24"/>
          <w:lang w:val="es-CO"/>
        </w:rPr>
        <w:lastRenderedPageBreak/>
        <w:t>Ambiental - SINA, el sistema educativo, entre otros, en el marco del Sistema Nacional de Competitividad - SNC.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 Establecer disposiciones generales que conlleven al fortalecimiento del conocimiento científico y el desarrollo de la innovación para el efectivo cumplimiento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ART</w:t>
      </w:r>
      <w:r w:rsidRPr="003A174E">
        <w:rPr>
          <w:rFonts w:ascii="Georgia" w:hAnsi="Georgia"/>
          <w:b/>
          <w:i/>
          <w:sz w:val="24"/>
          <w:szCs w:val="24"/>
          <w:lang w:val="es-CO"/>
        </w:rPr>
        <w:t>Í</w:t>
      </w:r>
      <w:r w:rsidRPr="003A174E">
        <w:rPr>
          <w:rFonts w:ascii="Georgia" w:hAnsi="Georgia"/>
          <w:b/>
          <w:i/>
          <w:sz w:val="24"/>
          <w:szCs w:val="24"/>
        </w:rPr>
        <w:t xml:space="preserve">CULO </w:t>
      </w:r>
      <w:r>
        <w:rPr>
          <w:rFonts w:ascii="Georgia" w:hAnsi="Georgia"/>
          <w:b/>
          <w:i/>
          <w:sz w:val="24"/>
          <w:szCs w:val="24"/>
          <w:lang w:val="es-ES"/>
        </w:rPr>
        <w:t>134</w:t>
      </w:r>
      <w:r w:rsidRPr="003A174E">
        <w:rPr>
          <w:rFonts w:ascii="Georgia" w:hAnsi="Georgia"/>
          <w:b/>
          <w:i/>
          <w:sz w:val="24"/>
          <w:szCs w:val="24"/>
          <w:lang w:val="es-ES"/>
        </w:rPr>
        <w:t>°</w:t>
      </w:r>
      <w:r w:rsidRPr="003A174E">
        <w:rPr>
          <w:rFonts w:ascii="Georgia" w:hAnsi="Georgia"/>
          <w:b/>
          <w:i/>
          <w:sz w:val="24"/>
          <w:szCs w:val="24"/>
        </w:rPr>
        <w:t>. LIBERTAD RELIGIOSA, DE CULTOS Y CONCIENCIA.</w:t>
      </w:r>
      <w:r w:rsidRPr="003A174E">
        <w:rPr>
          <w:rFonts w:ascii="Georgia" w:hAnsi="Georgia"/>
          <w:i/>
          <w:sz w:val="24"/>
          <w:szCs w:val="24"/>
        </w:rPr>
        <w:t xml:space="preserve"> El Gobierno </w:t>
      </w:r>
      <w:r w:rsidRPr="003A174E">
        <w:rPr>
          <w:rFonts w:ascii="Georgia" w:hAnsi="Georgia"/>
          <w:i/>
          <w:sz w:val="24"/>
          <w:szCs w:val="24"/>
          <w:lang w:val="es-ES"/>
        </w:rPr>
        <w:t>n</w:t>
      </w:r>
      <w:r w:rsidRPr="003A174E">
        <w:rPr>
          <w:rFonts w:ascii="Georgia" w:hAnsi="Georgia"/>
          <w:i/>
          <w:sz w:val="24"/>
          <w:szCs w:val="24"/>
        </w:rPr>
        <w:t>acional con la coordinación del Ministerio del Interior, emprenderá acciones que promuevan la articulación intersectorial, interinstitucional y territorial para la garantía y goce efectivo del ejercicio del derecho a la libertad religiosa, de cultos y conciencia en el territorio nacional. Para el efecto, promoverá e impulsará la participación de los representantes de las entidades religiosas, el reconocimiento de las mismas y la garan</w:t>
      </w:r>
      <w:r w:rsidRPr="003A174E">
        <w:rPr>
          <w:rFonts w:ascii="Georgia" w:hAnsi="Georgia"/>
          <w:i/>
          <w:sz w:val="24"/>
          <w:szCs w:val="24"/>
          <w:lang w:val="es-ES"/>
        </w:rPr>
        <w:t>tía</w:t>
      </w:r>
      <w:r w:rsidRPr="003A174E">
        <w:rPr>
          <w:rFonts w:ascii="Georgia" w:hAnsi="Georgia"/>
          <w:i/>
          <w:sz w:val="24"/>
          <w:szCs w:val="24"/>
        </w:rPr>
        <w:t xml:space="preserve"> </w:t>
      </w:r>
      <w:r w:rsidRPr="003A174E">
        <w:rPr>
          <w:rFonts w:ascii="Georgia" w:hAnsi="Georgia"/>
          <w:i/>
          <w:sz w:val="24"/>
          <w:szCs w:val="24"/>
          <w:lang w:val="es-ES"/>
        </w:rPr>
        <w:t>d</w:t>
      </w:r>
      <w:r w:rsidRPr="003A174E">
        <w:rPr>
          <w:rFonts w:ascii="Georgia" w:hAnsi="Georgia"/>
          <w:i/>
          <w:sz w:val="24"/>
          <w:szCs w:val="24"/>
        </w:rPr>
        <w:t xml:space="preserve">el libre ejercicio de estos derechos, conforme a </w:t>
      </w:r>
      <w:r w:rsidRPr="003A174E">
        <w:rPr>
          <w:rFonts w:ascii="Georgia" w:hAnsi="Georgia"/>
          <w:i/>
          <w:sz w:val="24"/>
          <w:szCs w:val="24"/>
          <w:lang w:val="es-CO"/>
        </w:rPr>
        <w:t xml:space="preserve">la Constitución y la Ley.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PARÁGRAFO.</w:t>
      </w:r>
      <w:r w:rsidRPr="003A174E">
        <w:rPr>
          <w:rFonts w:ascii="Georgia" w:hAnsi="Georgia"/>
          <w:i/>
          <w:sz w:val="24"/>
          <w:szCs w:val="24"/>
          <w:lang w:val="es-CO"/>
        </w:rPr>
        <w:t xml:space="preserve"> El Ministerio del Interior, en coordinación con el Departamento Administrativo</w:t>
      </w:r>
      <w:r w:rsidRPr="003A174E">
        <w:rPr>
          <w:rFonts w:ascii="Georgia" w:hAnsi="Georgia"/>
          <w:i/>
          <w:sz w:val="24"/>
          <w:szCs w:val="24"/>
        </w:rPr>
        <w:t xml:space="preserve"> Nacional de Estadística, DANE adelantará los estudios y trámites administrativos y contables necesarios para el diseño de herramientas que permitan medir, caracterizar y recolectar la información necesaria para incluir en el Sistema de Cuentas Nacionales la contribución que realizan las organizaciones sociales del sector religioso al desarrollo económico del país. La medición que se realice de conformidad con este artículo deberá garantizar su actualización de manera continua conforme con el período de tiempo que defina el DANE.</w:t>
      </w:r>
    </w:p>
    <w:p w:rsidR="00EC45FF" w:rsidRPr="003A174E" w:rsidRDefault="00EC45FF" w:rsidP="00EC45FF">
      <w:pPr>
        <w:spacing w:afterLines="20" w:after="48" w:line="240" w:lineRule="auto"/>
        <w:jc w:val="both"/>
        <w:rPr>
          <w:rFonts w:ascii="Georgia" w:hAnsi="Georgia"/>
          <w:b/>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135</w:t>
      </w:r>
      <w:r w:rsidRPr="003A174E">
        <w:rPr>
          <w:rFonts w:ascii="Georgia" w:hAnsi="Georgia"/>
          <w:b/>
          <w:i/>
          <w:sz w:val="24"/>
          <w:szCs w:val="24"/>
          <w:lang w:val="es-CO"/>
        </w:rPr>
        <w:t xml:space="preserve">º (NUEVO). FUNCIONES DE LOS MUNICIPIOS. </w:t>
      </w:r>
      <w:r w:rsidRPr="003A174E">
        <w:rPr>
          <w:rFonts w:ascii="Georgia" w:hAnsi="Georgia"/>
          <w:i/>
          <w:sz w:val="24"/>
          <w:szCs w:val="24"/>
          <w:lang w:val="es-CO"/>
        </w:rPr>
        <w:t xml:space="preserve">Adiciónese el siguiente parágrafo al artículo 6 de la Ley 1551 de 2012 el cual quedará así: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PARÁGRAFO 5. Los denominados convenios solidarios de que trata el parágrafo 3 del presente artículo también podrán ser celebrados entre las entidades del orden nacional y los organismos de acción comunal para la ejecución de proyectos incluidos en el respectivo Plan Nacional de Desarrollo.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136</w:t>
      </w:r>
      <w:r w:rsidRPr="003A174E">
        <w:rPr>
          <w:rFonts w:ascii="Georgia" w:hAnsi="Georgia"/>
          <w:b/>
          <w:i/>
          <w:sz w:val="24"/>
          <w:szCs w:val="24"/>
          <w:lang w:val="es-CO"/>
        </w:rPr>
        <w:t>º. RESERVA LEGAL DE LAS ESTRATEGIAS DE DEFENSA JURÍDICA NACIONAL E INTERNACIONAL</w:t>
      </w:r>
      <w:r w:rsidRPr="003A174E">
        <w:rPr>
          <w:rFonts w:ascii="Georgia" w:hAnsi="Georgia"/>
          <w:i/>
          <w:sz w:val="24"/>
          <w:szCs w:val="24"/>
          <w:lang w:val="es-CO"/>
        </w:rPr>
        <w:t>. Las estrategias de defensa jurídica nacional e internacional gozarán de reserva legal conforme lo dispuesto en los literales e) y h) y el parágrafo del artículo 19 de la Ley 1712 de 2014, o la norma que los modifique, adicione o sustituya.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La reserva cubrirá todas las etapas de la controversia o del proceso respectivo. Podrán publicarse parcialmente documentos y piezas de información cuya revelación no afecte la estrategia de defensa o los intereses legítimos del Estado.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Cuando la publicación de los acuerdos o contratos producto del uso de los mecanismos alternativos de arreglo directo o negociaciones en materia de conflictos de inversión en el ámbito internacional, pueda incidir en la gestión de otros procesos o acuerdos, estos podrán ser materia de reserva.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El término de la reserva sobre las estrategias de defensa jurídica nacional e internacional del Estado, podrá extenderse por el término máximo autorizado en la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TERCERO. </w:t>
      </w:r>
      <w:r w:rsidRPr="003A174E">
        <w:rPr>
          <w:rFonts w:ascii="Georgia" w:hAnsi="Georgia"/>
          <w:i/>
          <w:sz w:val="24"/>
          <w:szCs w:val="24"/>
          <w:lang w:val="es-CO"/>
        </w:rPr>
        <w:t>La reserva no abarcará aquellos documentos e informes que constituyan prueba necesaria a favor de quien los solicita y que se encuentren en poder del Estado en ejercicio de una función prevista en el ordenamiento jurídico.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jc w:val="both"/>
        <w:rPr>
          <w:rFonts w:ascii="Georgia" w:hAnsi="Georgia"/>
          <w:i/>
          <w:sz w:val="24"/>
          <w:szCs w:val="24"/>
          <w:lang w:val="es-CO"/>
        </w:rPr>
      </w:pPr>
      <w:r>
        <w:rPr>
          <w:rFonts w:ascii="Georgia" w:hAnsi="Georgia"/>
          <w:b/>
          <w:i/>
          <w:sz w:val="24"/>
          <w:szCs w:val="24"/>
          <w:lang w:val="es-CO"/>
        </w:rPr>
        <w:t>ARTÍCULO 137</w:t>
      </w:r>
      <w:r w:rsidRPr="003A174E">
        <w:rPr>
          <w:rFonts w:ascii="Georgia" w:hAnsi="Georgia"/>
          <w:b/>
          <w:i/>
          <w:sz w:val="24"/>
          <w:szCs w:val="24"/>
          <w:lang w:val="es-CO"/>
        </w:rPr>
        <w:t>°. CONTRIBUCIÓN ESPECIAL PARA LAUDOS ARBITRALES DE CONTENIDO ECONÓMICO</w:t>
      </w:r>
      <w:r w:rsidRPr="003A174E">
        <w:rPr>
          <w:rFonts w:ascii="Georgia" w:hAnsi="Georgia"/>
          <w:i/>
          <w:sz w:val="24"/>
          <w:szCs w:val="24"/>
          <w:lang w:val="es-CO"/>
        </w:rPr>
        <w:t>. Créase la contribución especial para laudos arbitrales de contenido económico a cargo de la persona natural o jurídica o el patrimonio autónomo a cuyo favor se ordene el pago de valor superior a setenta y tres (73) salarios mínimos legales mensuales vigentes. Estos recursos se destinarán a la financiación del sector Justicia y de la Rama Judicial.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Serán sujetos activos de la contribución especial, el Consejo Superior de la Judicatura, Dirección Ejecutiva de Administración Judicial, o quien haga sus veces, con destino al Fondo para la Modernización, Descongestión y Bienestar de la Administración de Justicia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contribución especial se causa cuando se haga el pago voluntario o por ejecución forzosa del correspondiente laudo.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base gravable de la contribución especial será el valor total de los pagos ordenados en el correspondiente laudo, providencia o sentencia condenatoria.  La tarifa será el dos por ciento (2%). En todo caso, el valor a pagar por concepto del impuesto no podrá exceder de mil (1.000) salarios mínimos legales mensuales vigentes.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entidad pagadora, ya sea persona natural o entidad pública o privada, en el momento en que efectúe pagos totales o parciales de las cuantías ordenadas en el laudo arbitral, deberá retener en la fuente la totalidad de la contribución especial causada con el respectivo pago. La retención practicada deberá ser incluida y pagada en la respectiva declaración mensual de retenciones en la fuente del agente retenedor, de acuerdo con las normas que regulan la retención en la fuente </w:t>
      </w:r>
      <w:r w:rsidRPr="003A174E">
        <w:rPr>
          <w:rFonts w:ascii="Georgia" w:hAnsi="Georgia"/>
          <w:i/>
          <w:sz w:val="24"/>
          <w:szCs w:val="24"/>
          <w:lang w:val="es-CO"/>
        </w:rPr>
        <w:lastRenderedPageBreak/>
        <w:t>contenidas en el Estatuto Tributario. En el evento de que el pagador no tenga la calidad de agente retenedor, el perceptor del pago deberá autorretener el monto de la contribución especial causada de acuerdo con las disposiciones establecidas sobre el particular en el Estatuto Tributario.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Gobierno nacional deberá girar en la primera quincena de cada semestre al Fondo para la Modernización, Descongestión y Bienestar de la Administración de Justicia, el monto recaudado por concepto de la contribución especial para laudos arbitrales de contenido económico.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138</w:t>
      </w:r>
      <w:r w:rsidRPr="003A174E">
        <w:rPr>
          <w:rFonts w:ascii="Georgia" w:hAnsi="Georgia"/>
          <w:b/>
          <w:bCs/>
          <w:i/>
          <w:sz w:val="24"/>
          <w:szCs w:val="24"/>
          <w:lang w:val="es-CO"/>
        </w:rPr>
        <w:t>°. REGISTRO ÚNICO DE DECISIONES JUDICIALES EN MATERIA PENAL Y JURISDICCIONES ESPECIALES</w:t>
      </w:r>
      <w:r w:rsidRPr="003A174E">
        <w:rPr>
          <w:rFonts w:ascii="Georgia" w:hAnsi="Georgia"/>
          <w:i/>
          <w:sz w:val="24"/>
          <w:szCs w:val="24"/>
          <w:lang w:val="es-CO"/>
        </w:rPr>
        <w:t xml:space="preserve">. Créase el Registro Único de Decisiones Judiciales en Materia Penal y jurisdicciones especiales, administrado por la Policía Nacional - Dirección de Investigación Criminal e Interpol.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administrador garantizará a la Fiscalía General de la Nación y demás autoridades judiciales, el acceso, consulta y actualización al Registro así como la protección del derecho del habeas data de los ciudadanos. Este registro contendrá los antecedentes penales, requerimientos, anotaciones, sentencias y demás decisiones judiciales que hagan tránsito a cosa juzgada, proferidas por la Jurisdicción Ordinaria, la Justicia Penal Militar, la Jurisdicción Especial para la Paz y demás jurisdicciones especiales reconocidas por la Constitución Política.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reglamentará las materias necesarias para garantizar el funcionamiento del registro y el proceso de actualización de la información.</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PRIMERO.</w:t>
      </w:r>
      <w:r w:rsidRPr="003A174E">
        <w:rPr>
          <w:rFonts w:ascii="Georgia" w:hAnsi="Georgia"/>
          <w:i/>
          <w:sz w:val="24"/>
          <w:szCs w:val="24"/>
          <w:lang w:val="es-CO"/>
        </w:rPr>
        <w:t xml:space="preserve"> El Consejo Superior de la Judicatura, la Justicia Penal Militar, la Jurisdicción Especial para la Paz, la Fiscalía General de la Nación deberán actualizar el sistema de información de acuerdo con los parámetros y protocolos que para tal efecto disponga el administrador del registro. Con este fin en un término de doce (12) meses, adoptarán las soluciones administrativas y tecnológicas necesaria para garantizar el suministro, registro y actualización de la información a través de canales seguros que garanticen su integridad, seguridad y confiabilidad.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SEGUNDO</w:t>
      </w:r>
      <w:r w:rsidRPr="003A174E">
        <w:rPr>
          <w:rFonts w:ascii="Georgia" w:hAnsi="Georgia"/>
          <w:i/>
          <w:sz w:val="24"/>
          <w:szCs w:val="24"/>
          <w:lang w:val="es-CO"/>
        </w:rPr>
        <w:t xml:space="preserve">. El Instituto Nacional Penitenciario y Carcelario y demás Centros Carcelarios como ejecutores de las decisiones judiciales, deberán actualizar y proporcionar la información necesaria, de acuerdo con las parámetros y protocolos que para tal efecto disponga el administrador del registro.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TERCERO. </w:t>
      </w:r>
      <w:r w:rsidRPr="003A174E">
        <w:rPr>
          <w:rFonts w:ascii="Georgia" w:hAnsi="Georgia"/>
          <w:i/>
          <w:sz w:val="24"/>
          <w:szCs w:val="24"/>
          <w:lang w:val="es-CO"/>
        </w:rPr>
        <w:t>Los registros referidos en los artículos 166, 167, 299, 305A y 320 de la Ley 906 de 2004 formarán parte del registro que trata 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139</w:t>
      </w:r>
      <w:r w:rsidRPr="003A174E">
        <w:rPr>
          <w:rFonts w:ascii="Georgia" w:hAnsi="Georgia"/>
          <w:b/>
          <w:i/>
          <w:sz w:val="24"/>
          <w:szCs w:val="24"/>
          <w:lang w:val="es-CO"/>
        </w:rPr>
        <w:t>°. ARMONIZACIÓN DEL PLAN DECENAL DEL SISTEMA DE JUSTICIA CON LOS PLANES NACIONALES DE DESARROLLO.</w:t>
      </w:r>
      <w:r w:rsidRPr="003A174E">
        <w:rPr>
          <w:rFonts w:ascii="Georgia" w:hAnsi="Georgia"/>
          <w:i/>
          <w:sz w:val="24"/>
          <w:szCs w:val="24"/>
          <w:lang w:val="es-CO"/>
        </w:rPr>
        <w:t xml:space="preserve"> Con el objeto de promover la coordinación, eficiencia, eficacia y modernización en la administración de justicia y en las funciones de los organismos de control, el Ministerio de Justicia y del Derecho, el Departamento Nacional de Planeación, el Consejo Superior de la Judicatura, la Fiscalía General de la Nación, el Instituto Nacional de Medicina Legal y Ciencias Forenses, la Contraloría General de la República, la Procuraduría General de la Nación y la Defensoría del Pueblo o quienes hagan sus veces, concurrirán para adelantar las armonizaciones necesarias al Plan Decenal del Sistema de Justicia en concordancia con los Planes Nacionales de Desarrollo, de acuerdo con las prioridades que dichas entidades identifiquen en el sistema de justicia, y teniendo en cuenta el proceso continuo de planeación que comprende la formulación, la aprobación, la ejecución, el seguimiento y la evaluación.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140</w:t>
      </w:r>
      <w:r w:rsidRPr="003A174E">
        <w:rPr>
          <w:rFonts w:ascii="Georgia" w:hAnsi="Georgia"/>
          <w:b/>
          <w:i/>
          <w:sz w:val="24"/>
          <w:szCs w:val="24"/>
          <w:lang w:val="es-CO"/>
        </w:rPr>
        <w:t>°. ESTRATEGIA DE CÁRCELES DEL ORDEN NACIONAL</w:t>
      </w:r>
      <w:r w:rsidRPr="003A174E">
        <w:rPr>
          <w:rFonts w:ascii="Georgia" w:hAnsi="Georgia"/>
          <w:i/>
          <w:sz w:val="24"/>
          <w:szCs w:val="24"/>
          <w:lang w:val="es-CO"/>
        </w:rPr>
        <w:t xml:space="preserve">. La Nación podrá adelantar gestiones para la creación, fusión, supresión, dirección, organización, administración, sostenimiento y vigilancia de cárceles para personas detenidas preventivamente; sin perjuicio de la responsabilidad que hoy le asiste a las entidades territoriales, de acuerdo con el artículo 17 de la Ley 65 de 1993. Lo anterior, teniendo en cuenta las siguientes disposiciones: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Las entidades territoriales identificarán predios para la localización de las cárceles, sobre los cuales la USPEC y el INPEC realizarán una evaluación a fin de establecer la viabilidad operativa de los mismos. Los predios identificados como viables deberán ser incorporados a los instrumentos de planeación territorial que correspondan con el uso del suelo requerido para la localización del equipamiento.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b) Las entidades territoriales podrán identificar, adquirir, habilitar y ceder a título gratuito al INPEC, el suelo con urbanismo y servicios públicos para la construcción de los establecimientos de reclusión nacionales, sin perjuicio de la facultad que les asiste para construir, administrar y operar cárceles del orden territorial.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Las entidades territoriales podrán convenir entre ellas la habilitación de suelo para la construcción de establecimientos de reclusión, así como su operación y mantenimiento conjunto. Igualmente, podrán celebrar convenios con la USPEC para la construcción, operación y mantenimiento de centros de reclusión.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 Habilítese a la USPEC a realizar gestiones para la construcción conjunta de ciudadelas judiciales, establecidas en el artículo 21 de la Ley 65 de 1993.</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disposiciones establecidas en el presente artículo, podrán desarrollarse mediante el esquema de asociación público privado, concesión u otras formas de contratación establecidas en la ley.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141</w:t>
      </w:r>
      <w:r w:rsidRPr="003A174E">
        <w:rPr>
          <w:rFonts w:ascii="Georgia" w:hAnsi="Georgia"/>
          <w:b/>
          <w:i/>
          <w:sz w:val="24"/>
          <w:szCs w:val="24"/>
          <w:lang w:val="es-CO"/>
        </w:rPr>
        <w:t>º (NUEVO). COMPORTAMIENTOS RELACIONADOS CON EL CUMPLIMIENTO DE LA NORMATIVIDAD QUE AFECTAN LA ACTIVIDAD ECONÓMICA.</w:t>
      </w:r>
      <w:r w:rsidRPr="003A174E">
        <w:rPr>
          <w:rFonts w:ascii="Georgia" w:hAnsi="Georgia"/>
          <w:i/>
          <w:sz w:val="24"/>
          <w:szCs w:val="24"/>
          <w:lang w:val="es-CO"/>
        </w:rPr>
        <w:t xml:space="preserve"> Adiciónese un parágrafo nuevo al artículo 92 de la Ley 1801 de 2016, Código Nacional de Policía y Convivencia,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PARÁGAFO 7°. Para efecto de la aplicación del numeral 16 del presente artículo, sobre comportamientos relacionados con desarrollar la actividad económica sin cumplir cualquiera de los requisitos establecidos en la normatividad vigente, el mismo se deberá interpretar y aplicar únicamente teniendo en cuenta los requisitos de apertura y funcionamiento que se establecen en el artículo 87 de la Ley 1801 de 2016.</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el control de uso reglamentado del suelo y las disposiciones de ubicación, destinación o finalidad, para la que fue construida la edificación, es exclusiva de los Inspectores de Policía de conformidad con el numeral 12 del presente artículo. No procederá la medida de suspensión temporal de actividades.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color w:val="000000"/>
          <w:sz w:val="24"/>
          <w:szCs w:val="24"/>
          <w:lang w:val="es-ES_tradnl"/>
        </w:rPr>
        <w:t>ARTÍCULO 142</w:t>
      </w:r>
      <w:r w:rsidRPr="003A174E">
        <w:rPr>
          <w:rFonts w:ascii="Georgia" w:hAnsi="Georgia"/>
          <w:b/>
          <w:i/>
          <w:color w:val="000000"/>
          <w:sz w:val="24"/>
          <w:szCs w:val="24"/>
          <w:lang w:val="es-ES_tradnl"/>
        </w:rPr>
        <w:t xml:space="preserve">º (NUEVO). DISPOSITIVOS DE ESCANEO PARA LA VIGILANCIA FRONTERIZA Y NACIONAL. </w:t>
      </w:r>
      <w:r w:rsidRPr="003A174E">
        <w:rPr>
          <w:rFonts w:ascii="Georgia" w:hAnsi="Georgia"/>
          <w:i/>
          <w:color w:val="000000"/>
          <w:sz w:val="24"/>
          <w:szCs w:val="24"/>
          <w:lang w:val="es-ES_tradnl"/>
        </w:rPr>
        <w:t xml:space="preserve">El Gobierno nacional, a través del Ministerio de Defensa Nacional y la Policía Nacional o por intermedio de los órganos que este determine, en desarrollo de la estrategia de política pública sobre la consolidación de control institucional de los territorios, que enfrente la criminalidad y las economías ilegales, implementará y dispondrá de los mecanismos e inversiones necesarias que permitan la adquisición a cualquier título de equipos e infraestructura tecnológica que facilite y coadyuve a la vigilancia móvil fronteriza y nacional, buscando con ello, salvaguardar la Seguridad y Defensa Nacional del Estado, controlar los pasos de frontera, luchar contra las economías ilegales, defender y proteger a la población civil y las estructuras militares del Estado frente a eventuales ataques terroristas, combatir el tráfico de drogas, armas, explosivos, el contrabando y combatir la trata de personas, entre otras </w:t>
      </w:r>
      <w:r w:rsidRPr="003A174E">
        <w:rPr>
          <w:rFonts w:ascii="Georgia" w:hAnsi="Georgia"/>
          <w:i/>
          <w:sz w:val="24"/>
          <w:szCs w:val="24"/>
          <w:lang w:val="es-CO"/>
        </w:rPr>
        <w:t>conductas delictivas.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sz w:val="24"/>
          <w:szCs w:val="24"/>
          <w:lang w:val="es-CO"/>
        </w:rPr>
        <w:t>Los equipos, infraestructura o software que se adquieran deberán facilitar y perm</w:t>
      </w:r>
      <w:r w:rsidRPr="003A174E">
        <w:rPr>
          <w:rFonts w:ascii="Georgia" w:hAnsi="Georgia"/>
          <w:i/>
          <w:color w:val="000000"/>
          <w:sz w:val="24"/>
          <w:szCs w:val="24"/>
          <w:lang w:val="es-ES_tradnl"/>
        </w:rPr>
        <w:t>itir de manera estacionaria, móvil o remota, el rastreo, escaneo, detección y transmisión de imágenes que faciliten el control, vigilancia y lucha contra las conductas antijurídicas antes referidas o para cualquier otra que llegare a ser considerada de importancia para la defensa y seguridad nacional y deberán permitir entre otros aspectos, (detección de objetos y personas) y visualización de rayos x, gamma, neutrones, retrodispersión u otras tecnologías, que permitan a la transmisión de las imágenes detectadas por los dispositivos que llegaren a ser adquiridos para las finalidades previamente mencionadas.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143</w:t>
      </w:r>
      <w:r w:rsidRPr="003A174E">
        <w:rPr>
          <w:rFonts w:ascii="Georgia" w:hAnsi="Georgia"/>
          <w:b/>
          <w:i/>
          <w:sz w:val="24"/>
          <w:szCs w:val="24"/>
          <w:lang w:val="es-CO"/>
        </w:rPr>
        <w:t>°. ACCESO A LA INFORMACIÓN.</w:t>
      </w:r>
      <w:r w:rsidRPr="003A174E">
        <w:rPr>
          <w:rFonts w:ascii="Georgia" w:hAnsi="Georgia"/>
          <w:i/>
          <w:sz w:val="24"/>
          <w:szCs w:val="24"/>
          <w:lang w:val="es-CO"/>
        </w:rPr>
        <w:t xml:space="preserve"> La Contraloría General de la República para el cumplimiento de sus funciones, tendrá acceso sin restricciones </w:t>
      </w:r>
      <w:r w:rsidRPr="003A174E">
        <w:rPr>
          <w:rFonts w:ascii="Georgia" w:hAnsi="Georgia"/>
          <w:i/>
          <w:sz w:val="24"/>
          <w:szCs w:val="24"/>
          <w:lang w:val="es-CO"/>
        </w:rPr>
        <w:lastRenderedPageBreak/>
        <w:t>a los sistemas de información o bases de datos de las entidades públicas y privadas que dispongan o administren recursos y/o ejerzan funciones públicas.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reserva legal de información o documentos no le será oponible a la Contraloría General de la República y se entenderá extendida exclusivamente para usos en el marco de sus funciones constitucionales y legales.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Cada entidad deberá disponer de lo necesario para garantizar el suministro oportuno y en tiempo real de la información requerida por la Contraloría General de la República.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Además de las sanciones ya previstas en la ley, la Contraloría General de la República podrá suspender en el ejercicio del cargo, hasta por el término de 180 días y con el fin de impulsar el correcto ejercicio del control fiscal, a los servidores públicos que impidan o entorpezcan el acceso a la información, previo agotamiento del procedimiento legal administrativo correspondiente, en el cual se garantizará el derecho al debido proceso. El Contralor General de la República reglamentará la materia.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144</w:t>
      </w:r>
      <w:r w:rsidRPr="003A174E">
        <w:rPr>
          <w:rFonts w:ascii="Georgia" w:hAnsi="Georgia"/>
          <w:b/>
          <w:i/>
          <w:sz w:val="24"/>
          <w:szCs w:val="24"/>
          <w:lang w:val="es-CO"/>
        </w:rPr>
        <w:t xml:space="preserve">°. TARIFA DE CONTROL FISCAL. </w:t>
      </w:r>
      <w:r w:rsidRPr="003A174E">
        <w:rPr>
          <w:rFonts w:ascii="Georgia" w:hAnsi="Georgia"/>
          <w:i/>
          <w:sz w:val="24"/>
          <w:szCs w:val="24"/>
          <w:lang w:val="es-CO"/>
        </w:rPr>
        <w:t xml:space="preserve">La liquidación y recaudo de la Tarifa de Control Fiscal a la que se refiere el artículo 4 de la Ley 106 de 1993, será de competencia del Ministerio de Hacienda y Crédito Público a partir de la presente vigencia fiscal.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145</w:t>
      </w:r>
      <w:r w:rsidRPr="003A174E">
        <w:rPr>
          <w:rFonts w:ascii="Georgia" w:hAnsi="Georgia"/>
          <w:b/>
          <w:i/>
          <w:sz w:val="24"/>
          <w:szCs w:val="24"/>
          <w:lang w:val="es-CO"/>
        </w:rPr>
        <w:t>°. RECURSOS PARA EL FONDO BIENESTAR DE LA CONTRALORÍA GENERAL DE LA REPÚBLICA.</w:t>
      </w:r>
      <w:r w:rsidRPr="003A174E">
        <w:rPr>
          <w:rFonts w:ascii="Georgia" w:hAnsi="Georgia"/>
          <w:i/>
          <w:sz w:val="24"/>
          <w:szCs w:val="24"/>
          <w:lang w:val="es-CO"/>
        </w:rPr>
        <w:t xml:space="preserve"> Adiciónese un parágrafo al artículo 91 de la Ley 106 de 1993,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Sin perjuicio de lo dispuesto en el presente artículo, la Contraloría General de la República podrá destinar recursos de su presupuesto, para la ejecución directa de planes y programas o el desarrollo de actividades de bienestar social para los servidores de la entidad, lo cual realizará en coordinación con el Fondo de Bienestar Social.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146</w:t>
      </w:r>
      <w:r w:rsidRPr="003A174E">
        <w:rPr>
          <w:rFonts w:ascii="Georgia" w:hAnsi="Georgia"/>
          <w:b/>
          <w:i/>
          <w:sz w:val="24"/>
          <w:szCs w:val="24"/>
          <w:lang w:val="es-CO"/>
        </w:rPr>
        <w:t>°. PLAN DECENAL DEL MINISTERIO PÚBLICO</w:t>
      </w:r>
      <w:r w:rsidRPr="003A174E">
        <w:rPr>
          <w:rFonts w:ascii="Georgia" w:hAnsi="Georgia"/>
          <w:i/>
          <w:sz w:val="24"/>
          <w:szCs w:val="24"/>
          <w:lang w:val="es-CO"/>
        </w:rPr>
        <w:t>. Con el objeto de promover la coordinación, eficiencia, eficacia y modernización del Ministerio Público, la Procuraduría General de la Nación coordinará con la Defensoría del Pueblo, las personerías distritales y municipales y la Vicepresidencia de la República, la elaboración del Plan decenal del Ministerio Público, el cual deberá formularse dentro de los dos (2) años siguientes a la promulgación de esta ley. La secretaría técnica a cargo de la elaboración y seguimiento del plan estará a cargo del Instituto de Estudios del Ministerio Público, y la Procuraduría General de la Nación presentará sus avances anualmente al Congreso de la República.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El Plan debe contener, por lo menos, los objetivos interinstitucionales, un plan de acción para lograrlos, las metas interinstitucionales, las actividades y la definición de los mecanismos de seguimiento dirigidas a preservar el interés general, luchar contra la corrupción y la efectividad de los derechos en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y organismos del Gobierno nacional, las universidades y los centros de investigación y las organizaciones de trabajadores, podrán formular recomendaciones.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Las personerías distritales y municipales, oficinas de control interno disciplinario de todas las entidades públicas u órganos internos de control disciplinario estarán obligadas a reportar la información de todos los procesos que adelanten como operadores disciplinarios al Sistema de Información Misional de la Procuraduría General de la Nación, o el que haga sus veces, de forma que habrá un sistema unificado del registro disciplinario. Este sistema será coordinado por la Procuraduría General de la Nación como supremo director del Ministerio Público y para lo cual dispondrá las medidas necesarias para la adopción y uso del sistema de información en cada una de las entidades y dependencias enunciadas.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147</w:t>
      </w:r>
      <w:r w:rsidRPr="003A174E">
        <w:rPr>
          <w:rFonts w:ascii="Georgia" w:hAnsi="Georgia"/>
          <w:b/>
          <w:i/>
          <w:sz w:val="24"/>
          <w:szCs w:val="24"/>
          <w:lang w:val="es-CO"/>
        </w:rPr>
        <w:t xml:space="preserve">°. PRÓRROGA CÓDIGO GENERAL DISCIPLINARIO. </w:t>
      </w:r>
      <w:r w:rsidRPr="003A174E">
        <w:rPr>
          <w:rFonts w:ascii="Georgia" w:hAnsi="Georgia"/>
          <w:i/>
          <w:sz w:val="24"/>
          <w:szCs w:val="24"/>
        </w:rPr>
        <w:t xml:space="preserve">Prorróguese hasta el 1 de julio de 2021 la entrada en vigencia de la Ley 1952 de </w:t>
      </w:r>
      <w:r w:rsidRPr="003A174E">
        <w:rPr>
          <w:rFonts w:ascii="Georgia" w:hAnsi="Georgia"/>
          <w:i/>
          <w:sz w:val="24"/>
          <w:szCs w:val="24"/>
          <w:lang w:val="es-CO"/>
        </w:rPr>
        <w:t>2019.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148</w:t>
      </w:r>
      <w:r w:rsidRPr="003A174E">
        <w:rPr>
          <w:rFonts w:ascii="Georgia" w:hAnsi="Georgia"/>
          <w:b/>
          <w:i/>
          <w:sz w:val="24"/>
          <w:szCs w:val="24"/>
          <w:lang w:val="es-CO"/>
        </w:rPr>
        <w:t>°. UNIDAD DE INVESTIGACIÓN Y ACUSACIÓN - UIA DE LA JURISDICCIÓN ESPECIAL PARA LA PAZ - JEP.</w:t>
      </w:r>
      <w:r w:rsidRPr="003A174E">
        <w:rPr>
          <w:rFonts w:ascii="Georgia" w:hAnsi="Georgia"/>
          <w:i/>
          <w:sz w:val="24"/>
          <w:szCs w:val="24"/>
          <w:lang w:val="es-CO"/>
        </w:rPr>
        <w:t xml:space="preserve"> El Estado, por intermedio del Gobierno Nacional, garantizará la autonomía administrativa, técnica y presupuestal de la Unidad de Investigación y Acusación - UIA de la Jurisdicción Especial para la Paz, para lo cual podrá hacer uso del plan de inversiones para la paz, contenido en el artículo 3 del Acto Legislativo 01 de 2016.</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el fin de garantizar el funcionamiento y autonomía administrativa, técnica y presupuestal de la Unidad de Investigación y Acusación - UIA, el Director ejercerá de manera exclusiva e independiente todas las funciones que correspondan para determinar la estructura y funcionamiento de la Unidad de Investigación y Acusación - UIA de la Jurisdicción Especial para la Paz.</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Director de la Unidad de Investigación y Acusación - UIA en desarrollo de tal facultad, asignará la planta de personal que corresponda a cada dependencia, podrá variarla cuando lo considere necesario y establecerá el manual de requisitos y funciones de cada uno de los empleos.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unidad de investigación y acusación de la Jurisdicción Especial para la Paz se identificará como una sección en el Presupuesto General de la Nación.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lang w:val="es-CO"/>
        </w:rPr>
        <w:lastRenderedPageBreak/>
        <w:t>En ejercicio de estas atribuciones, el Director de la Unidad de Investigación Acusación - UIA, no podrá crear, con cargo al Tesoro, obligaciones que excedan el monto global</w:t>
      </w:r>
      <w:r w:rsidRPr="003A174E">
        <w:rPr>
          <w:rFonts w:ascii="Georgia" w:hAnsi="Georgia"/>
          <w:i/>
          <w:sz w:val="24"/>
          <w:szCs w:val="24"/>
        </w:rPr>
        <w:t xml:space="preserve"> fijado asignado en el Presupuesto a la unidad de investigación y acusación de la JEP.</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149</w:t>
      </w:r>
      <w:r w:rsidRPr="003A174E">
        <w:rPr>
          <w:rFonts w:ascii="Georgia" w:hAnsi="Georgia"/>
          <w:b/>
          <w:i/>
          <w:sz w:val="24"/>
          <w:szCs w:val="24"/>
          <w:lang w:val="es-CO"/>
        </w:rPr>
        <w:t xml:space="preserve">º. CUENTAS DE DEPÓSITO EN EL BANCO DE LA REPÚBLICA. </w:t>
      </w:r>
      <w:r w:rsidRPr="003A174E">
        <w:rPr>
          <w:rFonts w:ascii="Georgia" w:hAnsi="Georgia"/>
          <w:i/>
          <w:sz w:val="24"/>
          <w:szCs w:val="24"/>
          <w:lang w:val="es-CO"/>
        </w:rPr>
        <w:t>No serán susceptibles de medidas cautelares por parte de cualquier autoridad judicial o administrativa las cuentas de depósito en el Banco de la República, salvo aquellas derivadas de la adopción de institutos de salvamento y protección de la confianza pública y/o de la toma de posesión y liquidación forzosa administrativa establecidos en el Estatuto Orgánico del Sistema Financiero y de las contempladas en el artículo 6 de la Ley 964 de 2005.</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Pr>
          <w:rFonts w:ascii="Georgia" w:hAnsi="Georgia"/>
          <w:b/>
          <w:i/>
          <w:sz w:val="24"/>
          <w:szCs w:val="24"/>
          <w:lang w:val="es-CO"/>
        </w:rPr>
        <w:t>ARTÍCULO 150</w:t>
      </w:r>
      <w:r w:rsidRPr="003A174E">
        <w:rPr>
          <w:rFonts w:ascii="Georgia" w:hAnsi="Georgia"/>
          <w:b/>
          <w:i/>
          <w:sz w:val="24"/>
          <w:szCs w:val="24"/>
          <w:lang w:val="es-CO"/>
        </w:rPr>
        <w:t xml:space="preserve">º. BICENTENARIO DE LA INDEPENDENCIA NACIONAL. </w:t>
      </w:r>
      <w:r w:rsidRPr="003A174E">
        <w:rPr>
          <w:rFonts w:ascii="Georgia" w:hAnsi="Georgia"/>
          <w:i/>
          <w:sz w:val="24"/>
          <w:szCs w:val="24"/>
          <w:lang w:val="es-CO"/>
        </w:rPr>
        <w:t>Como conmemoración del Bicentenario de la Independencia de Colombia el Banco de la República emitirá, por una sola vez, monedas conmemorativas de dichas efemérides.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Pr>
          <w:rFonts w:ascii="Georgia" w:hAnsi="Georgia"/>
          <w:b/>
          <w:bCs/>
          <w:i/>
          <w:sz w:val="24"/>
          <w:szCs w:val="24"/>
          <w:lang w:val="es-CO"/>
        </w:rPr>
        <w:t>ARTÍCULO 151</w:t>
      </w:r>
      <w:r w:rsidRPr="003A174E">
        <w:rPr>
          <w:rFonts w:ascii="Georgia" w:hAnsi="Georgia"/>
          <w:b/>
          <w:bCs/>
          <w:i/>
          <w:sz w:val="24"/>
          <w:szCs w:val="24"/>
          <w:lang w:val="es-CO"/>
        </w:rPr>
        <w:t xml:space="preserve">º. LIQUIDACIÓN DE SOCIEDADES NO OPERATIVAS SUJETAS A LA INSPECCIÓN, VIGILANCIA Y CONTROL DE LA SUPERINTENDENCIA DE SOCIEDADES.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sociedades mercantiles sujetas a la supervisión de la Superintendencia de Sociedades, que no renueven su matrícula mercantil por un término de tres (3) años o que no envíen la información requerida por dicha Superintendencia durante el mismo término, se presumirán como no operativas y, podrán ser declaradas de oficio como disueltas por la Superintendencia de Sociedades, salvo demostración en contrario de su parte.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bCs/>
          <w:i/>
          <w:sz w:val="24"/>
          <w:szCs w:val="24"/>
          <w:lang w:val="es-CO"/>
        </w:rPr>
        <w:t xml:space="preserve">PARÁGRAFO. </w:t>
      </w:r>
      <w:r w:rsidRPr="003A174E">
        <w:rPr>
          <w:rFonts w:ascii="Georgia" w:hAnsi="Georgia"/>
          <w:i/>
          <w:sz w:val="24"/>
          <w:szCs w:val="24"/>
          <w:lang w:val="es-CO"/>
        </w:rPr>
        <w:t>El Gobierno nacional establecerá y reglamentará la aplicación del procedimiento objeto del presente artículo.</w:t>
      </w:r>
      <w:r w:rsidRPr="003A174E">
        <w:rPr>
          <w:rFonts w:ascii="Georgia" w:hAnsi="Georgia"/>
          <w:b/>
          <w:i/>
          <w:sz w:val="24"/>
          <w:szCs w:val="24"/>
          <w:lang w:val="es-CO"/>
        </w:rPr>
        <w:t xml:space="preserve">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152</w:t>
      </w:r>
      <w:r w:rsidRPr="003A174E">
        <w:rPr>
          <w:rFonts w:ascii="Georgia" w:hAnsi="Georgia"/>
          <w:b/>
          <w:i/>
          <w:sz w:val="24"/>
          <w:szCs w:val="24"/>
          <w:lang w:val="es-CO"/>
        </w:rPr>
        <w:t>°. TARIFAS A FAVOR DE LAS CÁMARAS DE COMERCIO.</w:t>
      </w:r>
      <w:r w:rsidRPr="003A174E">
        <w:rPr>
          <w:rFonts w:ascii="Georgia" w:hAnsi="Georgia"/>
          <w:i/>
          <w:sz w:val="24"/>
          <w:szCs w:val="24"/>
          <w:lang w:val="es-CO"/>
        </w:rPr>
        <w:t xml:space="preserve"> Modifíquese el artículo 124 de la Ley 6 de 1992,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124. TARIFAS A FAVOR DE LAS CÁMARAS DE COMERCIO</w:t>
      </w:r>
      <w:r w:rsidRPr="003A174E">
        <w:rPr>
          <w:rFonts w:ascii="Georgia" w:hAnsi="Georgia"/>
          <w:b/>
          <w:i/>
          <w:sz w:val="24"/>
          <w:szCs w:val="24"/>
          <w:lang w:val="es-CO"/>
        </w:rPr>
        <w:t>.</w:t>
      </w:r>
      <w:r w:rsidRPr="003A174E">
        <w:rPr>
          <w:rFonts w:ascii="Georgia" w:hAnsi="Georgia"/>
          <w:i/>
          <w:sz w:val="24"/>
          <w:szCs w:val="24"/>
          <w:lang w:val="es-CO"/>
        </w:rPr>
        <w:t xml:space="preserve"> El Gobierno nacional fijará el monto de las tarifas que deban sufragarse en favor de las Cámaras de Comercio por concepto de las matrículas, sus renovaciones, cancelaciones e inscripciones de los actos, libros y documentos que la ley determine efectuar en el registro mercantil, así como el valor de los certificados que dichas entidades expidan en ejercicio de sus funciones.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señalamiento de los derechos relacionados con la obligación de la matrícula mercantil y su renovación, el Gobierno nacional establecerá tarifas diferenciales </w:t>
      </w:r>
      <w:r w:rsidRPr="003A174E">
        <w:rPr>
          <w:rFonts w:ascii="Georgia" w:hAnsi="Georgia"/>
          <w:i/>
          <w:sz w:val="24"/>
          <w:szCs w:val="24"/>
          <w:lang w:val="es-CO"/>
        </w:rPr>
        <w:lastRenderedPageBreak/>
        <w:t>en función del monto de los activos o de los ingresos de actividades ordinarias del comerciante o del establecimiento de comercio según sea el caso.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cuotas anuales que el reglamento de las Cámaras de Comercio señale para los comerciantes afiliados son de naturaleza voluntaria.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153</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ABOGACÍA DE LA COMPETENCIA.</w:t>
      </w:r>
      <w:r w:rsidRPr="003A174E">
        <w:rPr>
          <w:rFonts w:ascii="Georgia" w:hAnsi="Georgia"/>
          <w:i/>
          <w:sz w:val="24"/>
          <w:szCs w:val="24"/>
        </w:rPr>
        <w:t xml:space="preserve"> Modifíquese el artículo 7 de la Ley 1340 de 2009, el cual quedará así:</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ARTÍCULO 7</w:t>
      </w:r>
      <w:r w:rsidRPr="003A174E">
        <w:rPr>
          <w:rFonts w:ascii="Georgia" w:hAnsi="Georgia"/>
          <w:i/>
          <w:sz w:val="24"/>
          <w:szCs w:val="24"/>
          <w:lang w:val="es-CO"/>
        </w:rPr>
        <w:t>°</w:t>
      </w:r>
      <w:r w:rsidRPr="003A174E">
        <w:rPr>
          <w:rFonts w:ascii="Georgia" w:hAnsi="Georgia"/>
          <w:i/>
          <w:sz w:val="24"/>
          <w:szCs w:val="24"/>
        </w:rPr>
        <w:t>. ABOGACÍA DE LA COMPETENCIA. Además de las disposiciones consagradas en el artículo segundo del Decreto 2153 de 1992, la Superintendencia de Industria y Comercio podrá rendir concepto previo, a solicitud o de oficio, sobre los proyectos de regulación estatal que puedan tener incidencia sobre la libre competencia en los mercados. Para estos efectos las autoridades deberán informar a la Superintendencia de Industria y Comercio los actos administrativos que pretendan expedir. El concepto emitido por la Superintendencia de Industria y Comercio en este sentido no será vinculante. Sin embargo, si la autoridad respectiva se aparta de dicho concepto, la misma deberá manifestar de manera expresa dentro de las consideraciones de la decisión los motivos por los cuales se aparta.</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Pr>
          <w:rFonts w:ascii="Georgia" w:hAnsi="Georgia"/>
          <w:b/>
          <w:i/>
          <w:color w:val="000000"/>
          <w:sz w:val="24"/>
          <w:szCs w:val="24"/>
          <w:lang w:val="es-ES_tradnl"/>
        </w:rPr>
        <w:t>ARTÍCULO 154</w:t>
      </w:r>
      <w:r w:rsidRPr="003A174E">
        <w:rPr>
          <w:rFonts w:ascii="Georgia" w:hAnsi="Georgia"/>
          <w:b/>
          <w:i/>
          <w:color w:val="000000"/>
          <w:sz w:val="24"/>
          <w:szCs w:val="24"/>
          <w:lang w:val="es-ES_tradnl"/>
        </w:rPr>
        <w:t xml:space="preserve">º (NUEVO). MONTO DE LAS MULTAS A PERSONAS JURÍDICAS. </w:t>
      </w:r>
      <w:r w:rsidRPr="003A174E">
        <w:rPr>
          <w:rFonts w:ascii="Georgia" w:hAnsi="Georgia"/>
          <w:i/>
          <w:color w:val="000000"/>
          <w:sz w:val="24"/>
          <w:szCs w:val="24"/>
          <w:lang w:val="es-ES_tradnl"/>
        </w:rPr>
        <w:t>Modifíquese el artículo 25 de la Ley 1340 de 2009, el cual quedará así:</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ARTÍCULO 25. MONTO DE LAS MULTAS A PERSONAS JURÍDICAS. Por violación de cualquiera de las disposiciones sobre protección de la competencia, incluidas la omisión de acatar en debida forma las solicitudes de información, órdenes e instrucciones que imparta, la obstrucción de las investigaciones, el incumplimiento de las obligaciones de informar una operación de integración empresarial o las derivadas de su aprobación bajo condiciones o de la terminación de una investigación por aceptación de garantías, imponer, por cada violación y a cada infractor, multas a favor de la Superintendencia de Industria y Comercio hasta por el diez por ciento (10%) de los ingresos operacionales del infractor en el año fiscal inmediatamente anterior al de la imposición de la sanción, o hasta el diez (10%) del patrimonio del infractor en el año fiscal inmediatamente anterior al de la imposición de la sanción, tomando el de mayor valor.</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Para efectos de graduar la multa, se tendrán en cuenta los siguientes criterios: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1. El impacto que la conducta tenga sobre el mercado.</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2. La dimensión del mercado afectado.</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3. El beneficio obtenido por el infractor de la conducta.</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4. El grado de participación del implicado.</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lastRenderedPageBreak/>
        <w:t>5. La conducta procesal de los investigados.</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6. La cuota de mercado de la empresa infractora, así como la parte de sus activos y/o de sus ventas involucrados en la infracción.</w:t>
      </w: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7. El patrimonio del infractor.</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b/>
          <w:i/>
          <w:color w:val="000000"/>
          <w:sz w:val="24"/>
          <w:szCs w:val="24"/>
          <w:lang w:val="es-ES_tradnl"/>
        </w:rPr>
        <w:t xml:space="preserve">PARÁGRAFO. </w:t>
      </w:r>
      <w:r w:rsidRPr="003A174E">
        <w:rPr>
          <w:rFonts w:ascii="Georgia" w:hAnsi="Georgia"/>
          <w:i/>
          <w:color w:val="000000"/>
          <w:sz w:val="24"/>
          <w:szCs w:val="24"/>
          <w:lang w:val="es-ES_tradnl"/>
        </w:rPr>
        <w:t>Serán circunstancias de agravación para efectos de la graduación de la sanción. La persistencia de la conducta infractora; la existencia de antecedentes en relación con infracciones al régimen de protección de la competencia o con incumplimiento de compromisos adquiridos o de órdenes de las autoridades de competencia; el haber actuado como líder, instigador o en cualquier forma promotor de la conducta. La colaboración con las autoridades en el conocimiento o en la investigación de la conducta será circunstancia de atenuación de la sanción.</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155</w:t>
      </w:r>
      <w:r w:rsidRPr="003A174E">
        <w:rPr>
          <w:rFonts w:ascii="Georgia" w:hAnsi="Georgia"/>
          <w:b/>
          <w:bCs/>
          <w:i/>
          <w:sz w:val="24"/>
          <w:szCs w:val="24"/>
          <w:lang w:val="es-CO"/>
        </w:rPr>
        <w:t>°. TRANSFORMACIÓN DIGITAL PÚBLICA.</w:t>
      </w:r>
      <w:r w:rsidRPr="003A174E">
        <w:rPr>
          <w:rFonts w:ascii="Georgia" w:hAnsi="Georgia"/>
          <w:i/>
          <w:sz w:val="24"/>
          <w:szCs w:val="24"/>
          <w:lang w:val="es-CO"/>
        </w:rPr>
        <w:t xml:space="preserve"> Las entidades estatales del orden nacional deberán incorporar en sus respectivos planes de acción el componente de transformación digital siguiendo los estándares que para este propósito defina el Ministerio de Tecnologías de la Información y las Comunicaciones. En todos los escenarios la transformación digital deberá incorporar los componentes asociados a tecnologías emergentes, definidos como aquellos de la Cuarta Revolución Industrial, entre otros.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territoriales podrán definir estrategias de ciudades y territorios inteligentes, para lo cual deberán incorporar los lineamientos técnicos en el componente de transformación digital que elabore el Ministerio de Tecnologías de la Información y las Comunicaciones.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proyectos estratégicos de transformación digital se orientarán por los siguientes principios: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Uso y aprovechamiento de la infraestructura de datos públicos, con un enfoque de apertura por defecto.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Aplicación y aprovechamiento de estándares, modelos, normas y herramientas que permitan la adecuada gestión de riesgos de seguridad digital, para generar confianza en los procesos de las entidades públicas y garantizar la protección de datos personales.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3. Plena interoperabilidad entre los sistemas de información públicos que garantice el suministro e intercambio de la información de manera ágil y eficiente a través de una plataforma de interoperabilidad. Se habilita de forma plena, permanente y en tiempo real cuando se requiera, el intercambio de información de forma electrónica en los estándares definidos por el Ministerio TIC, entre entidades </w:t>
      </w:r>
      <w:r w:rsidRPr="003A174E">
        <w:rPr>
          <w:rFonts w:ascii="Georgia" w:hAnsi="Georgia"/>
          <w:i/>
          <w:sz w:val="24"/>
          <w:szCs w:val="24"/>
          <w:lang w:val="es-CO"/>
        </w:rPr>
        <w:lastRenderedPageBreak/>
        <w:t>públicas.  Dando cumplimiento a la protección de datos personales y salvaguarda de la información.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Optimización de la gestión de recursos públicos en proyectos de Tecnologías de la Información a través del uso de los instrumentos de agregación de demanda y priorización de los servicios de nube.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Promoción de tecnologías basadas en software libre o código abierto, lo anterior, sin perjuicio de la inversión en tecnologías cerradas. En todos los casos la necesidad tecnológica deberá justificarse teniendo en cuenta análisis de costo-beneficio.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Priorización de tecnologías emergentes de la Cuarta Revolución Industrial que faciliten la prestación de servicios del Estado a través de nuevos modelos incluyendo, pero no limitado a, tecnologías de desintermediación, DLT (Distributed Ledger Technology), análisis masivo de datos (Big data), inteligencia artificial (AI), Internet de las Cosas (IoT), Robótica y similares.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Vinculación de todas las interacciones digitales entre el Estado y sus usuarios a través del Portal Único del Estado colombiano,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Implementación de todos los trámites nuevos en forma digital o electrónica sin ninguna excepción, en consecuencia, la interacción del Ciudadano-Estado sólo será presencial cuando sea la única opción.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9. Implementación de la política de racionalización de trámites para todos los trámites, eliminación de los que no se requieran, así como en el aprovechamiento de las tecnologías emergentes y exponenciales.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 Inclusión de programas de uso de tecnología para participación ciudadana y gobierno abierto en los procesos misionales de las entidades públicas.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11. Inclusión y actualización permanente de políticas de seguridad y confianza digital.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12. Implementación de estrategias público-privadas que propendan por el uso de medios de pago electrónicos, siguiendo los lineamientos que se establezcan en el Programa de Digitalización de la Economía que adopte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 Promoción del uso de medios de pago electrónico en la economía, conforme a la estrategia que defina el Gobierno nacional para generar una red masiva de aceptación de medios de pago electrónicos por parte de las entidades públicas y privadas.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w:t>
      </w:r>
      <w:r w:rsidRPr="003A174E">
        <w:rPr>
          <w:rFonts w:ascii="Georgia" w:hAnsi="Georgia"/>
          <w:i/>
          <w:sz w:val="24"/>
          <w:szCs w:val="24"/>
          <w:lang w:val="es-CO"/>
        </w:rPr>
        <w:t xml:space="preserve"> Los trámites y servicios que se deriven de los anteriores principios podrán ser ofrecidos tanto por personas jurídicas privadas como públicas, incluyendo a la entidad que haga las veces de articulador de servicios ciudadanos digitales, o la que defina el Ministerio TIC para tal fin.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156</w:t>
      </w:r>
      <w:r w:rsidRPr="003A174E">
        <w:rPr>
          <w:rFonts w:ascii="Georgia" w:hAnsi="Georgia"/>
          <w:b/>
          <w:i/>
          <w:sz w:val="24"/>
          <w:szCs w:val="24"/>
          <w:lang w:val="es-CO"/>
        </w:rPr>
        <w:t xml:space="preserve">º. GOBIERNO DIGITAL COMO POLÍTICA DE GESTIÓN Y DESEMPEÑO INSTITUCIONAL. </w:t>
      </w:r>
      <w:r w:rsidRPr="003A174E">
        <w:rPr>
          <w:rFonts w:ascii="Georgia" w:hAnsi="Georgia"/>
          <w:i/>
          <w:sz w:val="24"/>
          <w:szCs w:val="24"/>
          <w:lang w:val="es-CO"/>
        </w:rPr>
        <w:t>Modifíquese el artículo 230 de la Ley 1450 de 2011,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230. GOBIERNO DIGITAL COMO POLÍTICA DE GESTIÓN Y DESEMPEÑO INSTITUCIONAL. Todas las entidades de la administración pública deberán adelantar las acciones que señale el Gobierno nacional a través del Ministerio de Tecnologías de la Información y las Comunicaciones para la implementación de la política de Gobierno Digital.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Esta política liderada por el Ministerio de Tecnologías de la Información y las Comunicaciones contemplará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tecnologías de la información, la oferta y uso de software público, el aprovechamiento de tecnologías emergentes en el sector público, incremento de la confianza y la seguridad digital y el fomento a la participación y la democracia por medios digitales.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implementará mecanismos que permitan un monitoreo permanente sobre el uso, calidad, nivel de satisfacción e impacto de estas acciones.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157</w:t>
      </w:r>
      <w:r w:rsidRPr="003A174E">
        <w:rPr>
          <w:rFonts w:ascii="Georgia" w:hAnsi="Georgia"/>
          <w:b/>
          <w:i/>
          <w:sz w:val="24"/>
          <w:szCs w:val="24"/>
          <w:lang w:val="es-CO"/>
        </w:rPr>
        <w:t>°. INFRACCIONES POSTALES</w:t>
      </w:r>
      <w:r w:rsidRPr="003A174E">
        <w:rPr>
          <w:rFonts w:ascii="Georgia" w:hAnsi="Georgia"/>
          <w:i/>
          <w:sz w:val="24"/>
          <w:szCs w:val="24"/>
          <w:lang w:val="es-CO"/>
        </w:rPr>
        <w:t>. Modifíquese el artículo 37 de la Ley 1369 de 2009,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37. INFRACCIONES POSTALES. Constituyen las infracciones a este ordenamiento las siguientes: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w:t>
      </w:r>
      <w:r w:rsidRPr="003A174E">
        <w:rPr>
          <w:rFonts w:ascii="Georgia" w:hAnsi="Georgia"/>
          <w:i/>
          <w:sz w:val="24"/>
          <w:szCs w:val="24"/>
          <w:lang w:val="es-CO"/>
        </w:rPr>
        <w:tab/>
        <w:t>Prestar el Servicio de correo sin estar legalmente habilitado para ello.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w:t>
      </w:r>
      <w:r w:rsidRPr="003A174E">
        <w:rPr>
          <w:rFonts w:ascii="Georgia" w:hAnsi="Georgia"/>
          <w:i/>
          <w:sz w:val="24"/>
          <w:szCs w:val="24"/>
          <w:lang w:val="es-CO"/>
        </w:rPr>
        <w:tab/>
        <w:t>La suspensión total o parcial de la prestación del Servicio Postal Universal por parte del operador postal oficial.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w:t>
      </w:r>
      <w:r w:rsidRPr="003A174E">
        <w:rPr>
          <w:rFonts w:ascii="Georgia" w:hAnsi="Georgia"/>
          <w:i/>
          <w:sz w:val="24"/>
          <w:szCs w:val="24"/>
          <w:lang w:val="es-CO"/>
        </w:rPr>
        <w:tab/>
        <w:t>La utilización de oferta o anuncio de servicios que corresponden de manera exclusiva al Operador Postal Oficial o Concesionario de Correo.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w:t>
      </w:r>
      <w:r w:rsidRPr="003A174E">
        <w:rPr>
          <w:rFonts w:ascii="Georgia" w:hAnsi="Georgia"/>
          <w:i/>
          <w:sz w:val="24"/>
          <w:szCs w:val="24"/>
          <w:lang w:val="es-CO"/>
        </w:rPr>
        <w:tab/>
        <w:t>El incumplimiento en la implementación, actualización o aplicación de los sistemas de administración y mitigación de riesgos por parte de los operadores postales de pago.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w:t>
      </w:r>
      <w:r w:rsidRPr="003A174E">
        <w:rPr>
          <w:rFonts w:ascii="Georgia" w:hAnsi="Georgia"/>
          <w:i/>
          <w:sz w:val="24"/>
          <w:szCs w:val="24"/>
          <w:lang w:val="es-CO"/>
        </w:rPr>
        <w:tab/>
        <w:t xml:space="preserve">No cumplir los operadores postales de pago en todo tiempo con los requisitos patrimoniales fijados por el Ministerio de Tecnologías de la Información y las </w:t>
      </w:r>
      <w:r w:rsidRPr="003A174E">
        <w:rPr>
          <w:rFonts w:ascii="Georgia" w:hAnsi="Georgia"/>
          <w:i/>
          <w:sz w:val="24"/>
          <w:szCs w:val="24"/>
          <w:lang w:val="es-CO"/>
        </w:rPr>
        <w:lastRenderedPageBreak/>
        <w:t>Comunicaciones que deben respaldar la operación o cualquier situación que afecte su capacidad de responder por sus obligaciones y pueda poner en riesgo los recursos recibidos del público.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w:t>
      </w:r>
      <w:r w:rsidRPr="003A174E">
        <w:rPr>
          <w:rFonts w:ascii="Georgia" w:hAnsi="Georgia"/>
          <w:i/>
          <w:sz w:val="24"/>
          <w:szCs w:val="24"/>
          <w:lang w:val="es-CO"/>
        </w:rPr>
        <w:tab/>
        <w:t>Cualquier forma de violación a la libertad y confidencialidad de los envíos postales.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w:t>
      </w:r>
      <w:r w:rsidRPr="003A174E">
        <w:rPr>
          <w:rFonts w:ascii="Georgia" w:hAnsi="Georgia"/>
          <w:i/>
          <w:sz w:val="24"/>
          <w:szCs w:val="24"/>
          <w:lang w:val="es-CO"/>
        </w:rPr>
        <w:tab/>
        <w:t>La prestación de servicios postales sin la debida inscripción en el registro de Operadores Postales del Ministerio de Tecnologías de la Información y las Comunicaciones.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w:t>
      </w:r>
      <w:r w:rsidRPr="003A174E">
        <w:rPr>
          <w:rFonts w:ascii="Georgia" w:hAnsi="Georgia"/>
          <w:i/>
          <w:sz w:val="24"/>
          <w:szCs w:val="24"/>
          <w:lang w:val="es-CO"/>
        </w:rPr>
        <w:tab/>
        <w:t>No pagar la contraprestación periódica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9.</w:t>
      </w:r>
      <w:r w:rsidRPr="003A174E">
        <w:rPr>
          <w:rFonts w:ascii="Georgia" w:hAnsi="Georgia"/>
          <w:i/>
          <w:sz w:val="24"/>
          <w:szCs w:val="24"/>
          <w:lang w:val="es-CO"/>
        </w:rPr>
        <w:tab/>
        <w:t>No pagar oportunamente la contraprestación periódica.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w:t>
      </w:r>
      <w:r w:rsidRPr="003A174E">
        <w:rPr>
          <w:rFonts w:ascii="Georgia" w:hAnsi="Georgia"/>
          <w:i/>
          <w:sz w:val="24"/>
          <w:szCs w:val="24"/>
          <w:lang w:val="es-CO"/>
        </w:rPr>
        <w:tab/>
        <w:t>Pagar la contraprestación periódica fijando como base para su cálculo ingresos inferiores a los realmente percibidos por concepto de prestación de servicios postales.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11.</w:t>
      </w:r>
      <w:r w:rsidRPr="003A174E">
        <w:rPr>
          <w:rFonts w:ascii="Georgia" w:hAnsi="Georgia"/>
          <w:i/>
          <w:sz w:val="24"/>
          <w:szCs w:val="24"/>
          <w:lang w:val="es-CO"/>
        </w:rPr>
        <w:tab/>
        <w:t>El incumplimiento de uno o más indicadores técnicos y de calidad de los servicios postales.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12.</w:t>
      </w:r>
      <w:r w:rsidRPr="003A174E">
        <w:rPr>
          <w:rFonts w:ascii="Georgia" w:hAnsi="Georgia"/>
          <w:i/>
          <w:sz w:val="24"/>
          <w:szCs w:val="24"/>
          <w:lang w:val="es-CO"/>
        </w:rPr>
        <w:tab/>
        <w:t>La negativa, obstrucción o resistencia a ser inspeccionado dentro de la visita administrativa para esclarecer hechos por la prestación del servicio.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w:t>
      </w:r>
      <w:r w:rsidRPr="003A174E">
        <w:rPr>
          <w:rFonts w:ascii="Georgia" w:hAnsi="Georgia"/>
          <w:i/>
          <w:sz w:val="24"/>
          <w:szCs w:val="24"/>
          <w:lang w:val="es-CO"/>
        </w:rPr>
        <w:tab/>
        <w:t>La actuación destinada a ocasionar fraude en el franqueo.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14.</w:t>
      </w:r>
      <w:r w:rsidRPr="003A174E">
        <w:rPr>
          <w:rFonts w:ascii="Georgia" w:hAnsi="Georgia"/>
          <w:i/>
          <w:sz w:val="24"/>
          <w:szCs w:val="24"/>
          <w:lang w:val="es-CO"/>
        </w:rPr>
        <w:tab/>
        <w:t>No cumplir el Operador de Servicios Postales con la obligación de divulgar, en sitio visible en todos los puntos de atención al público, las condiciones de prestación de cada servicio postal.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15.</w:t>
      </w:r>
      <w:r w:rsidRPr="003A174E">
        <w:rPr>
          <w:rFonts w:ascii="Georgia" w:hAnsi="Georgia"/>
          <w:i/>
          <w:sz w:val="24"/>
          <w:szCs w:val="24"/>
          <w:lang w:val="es-CO"/>
        </w:rPr>
        <w:tab/>
        <w:t>No cumplir el Operador de Servicios Postales con la obligación de divulgar, en la página web de la empresa y/o en medio de comunicación escrito, las condiciones de prestación de cada servicio postal.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16.</w:t>
      </w:r>
      <w:r w:rsidRPr="003A174E">
        <w:rPr>
          <w:rFonts w:ascii="Georgia" w:hAnsi="Georgia"/>
          <w:i/>
          <w:sz w:val="24"/>
          <w:szCs w:val="24"/>
          <w:lang w:val="es-CO"/>
        </w:rPr>
        <w:tab/>
        <w:t>La demora por parte de los Operadores de Servicios Postales, en facilitar la información requerida por el Ministerio de Tecnologías de la Información y las Comunicaciones, con el objeto de cumplir con las funciones asignadas.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17.</w:t>
      </w:r>
      <w:r w:rsidRPr="003A174E">
        <w:rPr>
          <w:rFonts w:ascii="Georgia" w:hAnsi="Georgia"/>
          <w:i/>
          <w:sz w:val="24"/>
          <w:szCs w:val="24"/>
          <w:lang w:val="es-CO"/>
        </w:rPr>
        <w:tab/>
        <w:t>La consolidación de objetos postales por parte del operador con el fin de evadir la contraprestación fijada en esta ley.</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18.</w:t>
      </w:r>
      <w:r w:rsidRPr="003A174E">
        <w:rPr>
          <w:rFonts w:ascii="Georgia" w:hAnsi="Georgia"/>
          <w:i/>
          <w:sz w:val="24"/>
          <w:szCs w:val="24"/>
          <w:lang w:val="es-CO"/>
        </w:rPr>
        <w:tab/>
        <w:t>Cualquiera otra forma de incumplimiento o violación de las disposiciones legales, reglamentarias o contractuales o regulatorias en materia de servicios postales.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158</w:t>
      </w:r>
      <w:r w:rsidRPr="003A174E">
        <w:rPr>
          <w:rFonts w:ascii="Georgia" w:hAnsi="Georgia"/>
          <w:b/>
          <w:i/>
          <w:sz w:val="24"/>
          <w:szCs w:val="24"/>
          <w:lang w:val="es-CO"/>
        </w:rPr>
        <w:t>°. SANCIONES POSTALES</w:t>
      </w:r>
      <w:r w:rsidRPr="003A174E">
        <w:rPr>
          <w:rFonts w:ascii="Georgia" w:hAnsi="Georgia"/>
          <w:i/>
          <w:sz w:val="24"/>
          <w:szCs w:val="24"/>
          <w:lang w:val="es-CO"/>
        </w:rPr>
        <w:t>. Modifíquese el artículo 38 de la Ley 1369 de 2009,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38. SANCIONES POSTALES. Previo el trámite del procedimiento administrativo señalado en el Código de Procedimiento Administrativo y de lo Contencioso Administrativo, y con la plenitud de las garantías constitucionales, el Ministro de Tecnologías de la Información y las Comunicaciones o su delegado podrá imponer las siguientes sanciones: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t>1.</w:t>
      </w:r>
      <w:r w:rsidRPr="003A174E">
        <w:rPr>
          <w:rFonts w:ascii="Georgia" w:hAnsi="Georgia"/>
          <w:i/>
          <w:sz w:val="24"/>
          <w:szCs w:val="24"/>
          <w:lang w:val="es-CO"/>
        </w:rPr>
        <w:tab/>
        <w:t>Amonestación escrita. La cual podrá ser publicada por un término de un (1) año en el registro de operadores postales.</w:t>
      </w: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lastRenderedPageBreak/>
        <w:t>2.</w:t>
      </w:r>
      <w:r w:rsidRPr="003A174E">
        <w:rPr>
          <w:rFonts w:ascii="Georgia" w:hAnsi="Georgia"/>
          <w:i/>
          <w:sz w:val="24"/>
          <w:szCs w:val="24"/>
          <w:lang w:val="es-CO"/>
        </w:rPr>
        <w:tab/>
        <w:t>Multa de hasta cuatrocientos (400) salarios mínimos legales mensuales vigentes.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w:t>
      </w:r>
      <w:r w:rsidRPr="003A174E">
        <w:rPr>
          <w:rFonts w:ascii="Georgia" w:hAnsi="Georgia"/>
          <w:i/>
          <w:sz w:val="24"/>
          <w:szCs w:val="24"/>
          <w:lang w:val="es-CO"/>
        </w:rPr>
        <w:tab/>
        <w:t>Suspensión de operaciones hasta por dos (2) meses.</w:t>
      </w:r>
    </w:p>
    <w:p w:rsidR="00EC45FF" w:rsidRPr="003A174E" w:rsidRDefault="00EC45FF" w:rsidP="00EC45FF">
      <w:pPr>
        <w:spacing w:afterLines="20" w:after="48" w:line="240" w:lineRule="auto"/>
        <w:ind w:left="705" w:hanging="705"/>
        <w:jc w:val="both"/>
        <w:rPr>
          <w:rFonts w:ascii="Georgia" w:hAnsi="Georgia"/>
          <w:i/>
          <w:sz w:val="24"/>
          <w:szCs w:val="24"/>
          <w:lang w:val="es-CO"/>
        </w:rPr>
      </w:pPr>
      <w:r w:rsidRPr="003A174E">
        <w:rPr>
          <w:rFonts w:ascii="Georgia" w:hAnsi="Georgia"/>
          <w:i/>
          <w:sz w:val="24"/>
          <w:szCs w:val="24"/>
          <w:lang w:val="es-CO"/>
        </w:rPr>
        <w:t>4.</w:t>
      </w:r>
      <w:r w:rsidRPr="003A174E">
        <w:rPr>
          <w:rFonts w:ascii="Georgia" w:hAnsi="Georgia"/>
          <w:i/>
          <w:sz w:val="24"/>
          <w:szCs w:val="24"/>
          <w:lang w:val="es-CO"/>
        </w:rPr>
        <w:tab/>
        <w:t>Cancelación del título habilitante para la prestación de servicios postales y su eliminación del Registro de Operadores Postales.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Se podrá declarar la caducidad del Contrato de Concesión al Operador Postal Oficial o Concesionario de Correo, de acuerdo con los requisitos legales aplicables, cuando se constante la ocurrencia de cualquiera de las causales previstas en los numerales 1, 2, 3,4,7,8,9, 10,12,13, del artículo 37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159</w:t>
      </w:r>
      <w:r w:rsidRPr="003A174E">
        <w:rPr>
          <w:rFonts w:ascii="Georgia" w:hAnsi="Georgia"/>
          <w:b/>
          <w:i/>
          <w:sz w:val="24"/>
          <w:szCs w:val="24"/>
          <w:lang w:val="es-CO"/>
        </w:rPr>
        <w:t>°. GRADUACIÓN DE LAS SANCIONES POSTALES</w:t>
      </w:r>
      <w:r w:rsidRPr="003A174E">
        <w:rPr>
          <w:rFonts w:ascii="Georgia" w:hAnsi="Georgia"/>
          <w:i/>
          <w:sz w:val="24"/>
          <w:szCs w:val="24"/>
          <w:lang w:val="es-CO"/>
        </w:rPr>
        <w:t>. Modifíquese el artículo 39 de la Ley 1369 de 2009,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39. GRADUACIÓN DE LAS SANCIONES POSTALES. Para definir las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sanciones se aplicarán los criterios consagrados en el Código de Procedimiento Administrativo y de lo Contencioso Administrativo.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el procedimiento administrativo sancionador que adelante el Ministerio de Tecnologías de la Información y las Comunicaciones, podrán tenerse como factores atenuantes, los siguientes criterios: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w:t>
      </w:r>
      <w:r w:rsidRPr="003A174E">
        <w:rPr>
          <w:rFonts w:ascii="Georgia" w:hAnsi="Georgia"/>
          <w:i/>
          <w:sz w:val="24"/>
          <w:szCs w:val="24"/>
          <w:lang w:val="es-CO"/>
        </w:rPr>
        <w:tab/>
        <w:t>Cuando, dentro de los cinco (5) días siguientes a la notificación del acto mediante el cual se formulan cargos, el investigado acredite que se ha producido el cese de los actos u omisiones que dieron lugar al inicio de la actuación administrativa, la sanción administrativa podrá reducirse hasta en las tres cuartas partes de la que resultare pertinente imponer.</w:t>
      </w:r>
      <w:r w:rsidRPr="003A174E">
        <w:rPr>
          <w:rFonts w:ascii="Georgia" w:hAnsi="Georgia"/>
          <w:i/>
          <w:sz w:val="24"/>
          <w:szCs w:val="24"/>
          <w:lang w:val="es-CO"/>
        </w:rPr>
        <w:tab/>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w:t>
      </w:r>
      <w:r w:rsidRPr="003A174E">
        <w:rPr>
          <w:rFonts w:ascii="Georgia" w:hAnsi="Georgia"/>
          <w:i/>
          <w:sz w:val="24"/>
          <w:szCs w:val="24"/>
          <w:lang w:val="es-CO"/>
        </w:rPr>
        <w:tab/>
        <w:t>Cuando, dentro de los quince (15) días siguientes a la notificación del acto mediante el cual se formulan cargos, el investigado acredite que se ha producido el cese de los actos u omisiones que dieron lugar al inicio de la actuación administrativa, la sanción administrativa podrá reducirse hasta en la mitad de la que resultare pertinente imponer.</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w:t>
      </w:r>
      <w:r w:rsidRPr="003A174E">
        <w:rPr>
          <w:rFonts w:ascii="Georgia" w:hAnsi="Georgia"/>
          <w:i/>
          <w:sz w:val="24"/>
          <w:szCs w:val="24"/>
          <w:lang w:val="es-CO"/>
        </w:rPr>
        <w:tab/>
        <w:t>Cuando, hasta antes de la culminación del periodo probatorio, el investigado acredite que se ha producido el cese de los actos u omisiones que dieron lugar al inicio de la actuación administrativa, la sanción administrativa podrá reducirse hasta en la tercera parte de la que resultare pertinente imponer.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160</w:t>
      </w:r>
      <w:r w:rsidRPr="003A174E">
        <w:rPr>
          <w:rFonts w:ascii="Georgia" w:hAnsi="Georgia"/>
          <w:b/>
          <w:i/>
          <w:sz w:val="24"/>
          <w:szCs w:val="24"/>
          <w:lang w:val="es-CO"/>
        </w:rPr>
        <w:t>°. RECURSOS DEL FONTIC PARA INSPECCIÓN, VIGILANCIA Y CONTROL</w:t>
      </w:r>
      <w:r w:rsidRPr="003A174E">
        <w:rPr>
          <w:rFonts w:ascii="Georgia" w:hAnsi="Georgia"/>
          <w:i/>
          <w:sz w:val="24"/>
          <w:szCs w:val="24"/>
          <w:lang w:val="es-CO"/>
        </w:rPr>
        <w:t>. El Fondo de Tecnologías de la Información y las Comunicaciones, o quien haga sus veces, deberá transferir a la Superintendencia de Industria y Comercio los recursos para el ejercicio de la función de inspección, vigilancia y control en materia de comunicaciones adelantada por esta Entidad.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161</w:t>
      </w:r>
      <w:r w:rsidRPr="003A174E">
        <w:rPr>
          <w:rFonts w:ascii="Georgia" w:hAnsi="Georgia"/>
          <w:b/>
          <w:i/>
          <w:sz w:val="24"/>
          <w:szCs w:val="24"/>
          <w:lang w:val="es-CO"/>
        </w:rPr>
        <w:t>°. REDES Y SERVICIOS DE TELECOMUNICACIONES</w:t>
      </w:r>
      <w:r w:rsidRPr="003A174E">
        <w:rPr>
          <w:rFonts w:ascii="Georgia" w:hAnsi="Georgia"/>
          <w:i/>
          <w:sz w:val="24"/>
          <w:szCs w:val="24"/>
          <w:lang w:val="es-CO"/>
        </w:rPr>
        <w:t xml:space="preserve"> El manejo, tratamiento o procesamiento de información no configuran, por sí mismos, la provisión de redes y servicios de telecomunicaciones que se rige por la Ley 1341 de 2009, aunque se soporten en redes y servicios de telecomunicaciones.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en un mismo negocio jurídico se involucre la provisión de redes y servicios de telecomunicaciones, y el manejo, tratamiento o procesamiento de información, deberá realizarse la separación contable de los ingresos derivados del manejo, tratamiento o procesamiento de información y de los ingresos derivados de la provisión de redes y servicios de telecomunicaciones que se rigen por la Ley 1341 de 2009, respectivamente.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162</w:t>
      </w:r>
      <w:r w:rsidRPr="003A174E">
        <w:rPr>
          <w:rFonts w:ascii="Georgia" w:hAnsi="Georgia"/>
          <w:b/>
          <w:i/>
          <w:sz w:val="24"/>
          <w:szCs w:val="24"/>
          <w:lang w:val="es-CO"/>
        </w:rPr>
        <w:t>°. PRODUCCIÓN Y CONTENIDO LOCAL EN SERVICIOS DE VIDEO BAJO DEMANDA</w:t>
      </w:r>
      <w:r w:rsidRPr="003A174E">
        <w:rPr>
          <w:rFonts w:ascii="Georgia" w:hAnsi="Georgia"/>
          <w:i/>
          <w:sz w:val="24"/>
          <w:szCs w:val="24"/>
          <w:lang w:val="es-CO"/>
        </w:rPr>
        <w:t xml:space="preserve">. Los servicios bajo demanda (Suscription Video on Demand -SVOD-) que se prestan a través de Internet (Over the Top-OTT-), deberán disponer, para los usuarios en Colombia, de una sección fácilmente accesible para el usuario en la que se incluyan obras audiovisuales de origen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EI Gobierno nacional expedirá, dentro de los doce meses siguientes a la expedición de la presente Ley, los aspectos necesarios para dar cumplimiento al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Pr>
          <w:rFonts w:ascii="Georgia" w:hAnsi="Georgia"/>
          <w:b/>
          <w:bCs/>
          <w:i/>
          <w:sz w:val="24"/>
          <w:szCs w:val="24"/>
          <w:lang w:val="es-CO"/>
        </w:rPr>
        <w:t>ARTÍCULO 163</w:t>
      </w:r>
      <w:r w:rsidRPr="003A174E">
        <w:rPr>
          <w:rFonts w:ascii="Georgia" w:hAnsi="Georgia"/>
          <w:b/>
          <w:i/>
          <w:sz w:val="24"/>
          <w:szCs w:val="24"/>
          <w:lang w:val="es-CO"/>
        </w:rPr>
        <w:t>º</w:t>
      </w:r>
      <w:r w:rsidRPr="003A174E">
        <w:rPr>
          <w:rFonts w:ascii="Georgia" w:hAnsi="Georgia"/>
          <w:b/>
          <w:bCs/>
          <w:i/>
          <w:sz w:val="24"/>
          <w:szCs w:val="24"/>
          <w:lang w:val="es-CO"/>
        </w:rPr>
        <w:t>. SISTEMA ESTADÍSTICO NACIONAL.</w:t>
      </w:r>
      <w:r w:rsidRPr="003A174E">
        <w:rPr>
          <w:rFonts w:ascii="Georgia" w:hAnsi="Georgia"/>
          <w:bCs/>
          <w:i/>
          <w:sz w:val="24"/>
          <w:szCs w:val="24"/>
          <w:lang w:val="es-CO"/>
        </w:rPr>
        <w:t xml:space="preserve"> Modifíquese el artículo 160 de la Ley 1753 de 2015, el cual quedará así:</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ARTÍCULO 160. SISTEMA ESTADÍSTICO NACIONAL. Créase el Sistema Estadístico Nacional, en adelante SEN, con el objetivo de suministrar a la sociedad y al Estado, estadísticas oficiales nacionales y territoriales de calidad. El SEN utilizará los lenguajes y procedimientos comunes, respetando los estándares estadísticos internacionales y los objetivos del código de buenas prácticas en materia estadística. Además, el SEN optimizará el uso de los registros administrativos producidos por todas las entidades que lo conforman y contribuirá con la transparencia, pertinencia, interoperabilidad, acceso, oportunidad y coherencia de las estadísticas del país, con un enfoque diferencial.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w:t>
      </w:r>
      <w:r w:rsidRPr="003A174E">
        <w:rPr>
          <w:rFonts w:ascii="Georgia" w:hAnsi="Georgia"/>
          <w:bCs/>
          <w:i/>
          <w:sz w:val="24"/>
          <w:szCs w:val="24"/>
          <w:lang w:val="es-CO"/>
        </w:rPr>
        <w:t>Sistema Estadístico Nacional - SEN</w:t>
      </w:r>
      <w:r w:rsidRPr="003A174E">
        <w:rPr>
          <w:rFonts w:ascii="Georgia" w:hAnsi="Georgia"/>
          <w:i/>
          <w:sz w:val="24"/>
          <w:szCs w:val="24"/>
          <w:lang w:val="es-CO"/>
        </w:rPr>
        <w:t xml:space="preserve"> estará integrado por las entidades que produzcan y difundan estadísticas o sean responsables de registros administrativos,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Pertenecientes a las Ramas del Poder Público, en todos los niveles de la estructura estatal, central o descentralizada por servicios o territorialmente; del orden nacional, departamental, municipal y distrital.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2. Los órganos, organismos o entidades estatales independientes o autónomos de control.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Las personas jurídicas, públicas o privadas, que presten servicios públicos.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Cualquier persona jurídica o dependencia de persona jurídica que desempeñe función pública o de autoridad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Personas jurídicas que posean, produzcan o administren registros administrativos en el desarrollo de su objeto social, que sean insumos necesarios para la producción de estadísticas oficiales.</w:t>
      </w:r>
    </w:p>
    <w:p w:rsidR="00EC45FF" w:rsidRPr="003A174E" w:rsidRDefault="00EC45FF" w:rsidP="00EC45FF">
      <w:pPr>
        <w:pStyle w:val="NormalWeb"/>
        <w:spacing w:before="0" w:beforeAutospacing="0" w:afterLines="20" w:after="48" w:afterAutospacing="0"/>
        <w:jc w:val="both"/>
        <w:rPr>
          <w:rFonts w:ascii="Georgia" w:eastAsia="+mn-ea" w:hAnsi="Georgia" w:cs="Arial"/>
          <w:i/>
          <w:kern w:val="24"/>
        </w:rPr>
      </w:pPr>
    </w:p>
    <w:p w:rsidR="00EC45FF" w:rsidRPr="003A174E" w:rsidRDefault="00EC45FF" w:rsidP="00EC45FF">
      <w:pPr>
        <w:pStyle w:val="NormalWeb"/>
        <w:spacing w:before="0" w:beforeAutospacing="0" w:afterLines="20" w:after="48" w:afterAutospacing="0"/>
        <w:jc w:val="both"/>
        <w:rPr>
          <w:rFonts w:ascii="Georgia" w:eastAsia="+mn-ea" w:hAnsi="Georgia" w:cs="Arial"/>
          <w:i/>
          <w:kern w:val="24"/>
        </w:rPr>
      </w:pPr>
      <w:r w:rsidRPr="003A174E">
        <w:rPr>
          <w:rFonts w:ascii="Georgia" w:eastAsia="+mn-ea" w:hAnsi="Georgia" w:cs="Arial"/>
          <w:i/>
          <w:kern w:val="24"/>
        </w:rPr>
        <w:t>El Departamento Administrativo Nacional de Estadística - DANE será el ente rector y por tanto el coordinador y regulador del SEN. El DANE establecerá las condiciones y características que deberán cumplir las estadísticas oficiales en Colombia, respetando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cumplimiento para los miembros del SEN.</w:t>
      </w:r>
    </w:p>
    <w:p w:rsidR="00EC45FF" w:rsidRPr="003A174E" w:rsidRDefault="00EC45FF" w:rsidP="00EC45FF">
      <w:pPr>
        <w:pStyle w:val="NormalWeb"/>
        <w:spacing w:before="0" w:beforeAutospacing="0" w:afterLines="20" w:after="48" w:afterAutospacing="0"/>
        <w:jc w:val="both"/>
        <w:rPr>
          <w:rFonts w:ascii="Georgia" w:hAnsi="Georgia" w:cs="Arial"/>
          <w:i/>
        </w:rPr>
      </w:pPr>
    </w:p>
    <w:p w:rsidR="00EC45FF" w:rsidRPr="003A174E" w:rsidRDefault="00EC45FF" w:rsidP="00EC45FF">
      <w:pPr>
        <w:pStyle w:val="NormalWeb"/>
        <w:spacing w:before="0" w:beforeAutospacing="0" w:afterLines="20" w:after="48" w:afterAutospacing="0"/>
        <w:jc w:val="both"/>
        <w:rPr>
          <w:rFonts w:ascii="Georgia" w:hAnsi="Georgia" w:cs="Arial"/>
          <w:i/>
        </w:rPr>
      </w:pPr>
      <w:r w:rsidRPr="003A174E">
        <w:rPr>
          <w:rFonts w:ascii="Georgia" w:eastAsia="+mn-ea" w:hAnsi="Georgia" w:cs="Arial"/>
          <w:i/>
          <w:kern w:val="24"/>
        </w:rPr>
        <w:t xml:space="preserve">El Plan Estadístico Nacional se expedirá cada cinco (5) años, previa concertación y socialización a los integrantes del SEN; </w:t>
      </w:r>
      <w:r w:rsidRPr="003A174E">
        <w:rPr>
          <w:rFonts w:ascii="Georgia" w:eastAsia="+mn-ea" w:hAnsi="Georgia" w:cs="Arial"/>
          <w:bCs/>
          <w:i/>
          <w:kern w:val="24"/>
        </w:rPr>
        <w:t>tendrá un enfoque diferencial</w:t>
      </w:r>
      <w:r w:rsidRPr="003A174E">
        <w:rPr>
          <w:rFonts w:ascii="Georgia" w:eastAsia="+mn-ea" w:hAnsi="Georgia" w:cs="Arial"/>
          <w:i/>
          <w:kern w:val="24"/>
        </w:rPr>
        <w:t xml:space="preserve"> y se actualizará cuando el DANE lo considere pertinente </w:t>
      </w:r>
      <w:r w:rsidRPr="003A174E">
        <w:rPr>
          <w:rFonts w:ascii="Georgia" w:eastAsia="+mn-ea" w:hAnsi="Georgia" w:cs="Arial"/>
          <w:bCs/>
          <w:i/>
          <w:kern w:val="24"/>
        </w:rPr>
        <w:t>previo aval del Consejo Asesor Técnico del Sistema Estadístico Nacional del que habla el parágrafo 3 de este artículo</w:t>
      </w:r>
      <w:r w:rsidRPr="003A174E">
        <w:rPr>
          <w:rFonts w:ascii="Georgia" w:eastAsia="+mn-ea" w:hAnsi="Georgia" w:cs="Arial"/>
          <w:i/>
          <w:kern w:val="24"/>
        </w:rPr>
        <w:t>. El Gobierno nacional reglamentará las demás disposiciones relacionadas con el Plan Estadístico Nacional y las condiciones que garanticen el intercambio de información y la calidad de las estadísticas de que trata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eastAsia="+mn-ea" w:hAnsi="Georgia"/>
          <w:i/>
          <w:kern w:val="24"/>
          <w:sz w:val="24"/>
          <w:szCs w:val="24"/>
          <w:lang w:val="es-CO"/>
        </w:rPr>
      </w:pPr>
      <w:r w:rsidRPr="003A174E">
        <w:rPr>
          <w:rFonts w:ascii="Georgia" w:eastAsia="+mn-ea" w:hAnsi="Georgia"/>
          <w:b/>
          <w:bCs/>
          <w:i/>
          <w:kern w:val="24"/>
          <w:sz w:val="24"/>
          <w:szCs w:val="24"/>
          <w:lang w:val="es-CO"/>
        </w:rPr>
        <w:t>PARÁGRAFO 1.</w:t>
      </w:r>
      <w:r w:rsidRPr="003A174E">
        <w:rPr>
          <w:rFonts w:ascii="Georgia" w:eastAsia="+mn-ea" w:hAnsi="Georgia"/>
          <w:i/>
          <w:kern w:val="24"/>
          <w:sz w:val="24"/>
          <w:szCs w:val="24"/>
          <w:lang w:val="es-CO"/>
        </w:rPr>
        <w:t xml:space="preserve"> Para la producción y difusión de estadísticas oficiales y de conformidad con la Ley 1266 de 2008 y la Ley 1712 de 2014, los integrantes del SEN deberán poner a disposición del DANE, de manera inmediata y de forma gratuita, las bases de datos completas de los registros administrativos que sean solicitados por el departamento, para lo cual no será oponible la reserva legal, especialmente la contenida en el Estatuto Tributario. El DANE garantizará la reserva y confidencialidad de la información en concordancia con el artículo 5o de la Ley 79 de 1993. Los integrantes del SEN que incumplan u obstaculicen los requerimientos de información realizados por el DANE, </w:t>
      </w:r>
      <w:r w:rsidRPr="003A174E">
        <w:rPr>
          <w:rFonts w:ascii="Georgia" w:eastAsia="+mn-ea" w:hAnsi="Georgia"/>
          <w:bCs/>
          <w:i/>
          <w:kern w:val="24"/>
          <w:sz w:val="24"/>
          <w:szCs w:val="24"/>
          <w:lang w:val="es-CO"/>
        </w:rPr>
        <w:t>asociados a la entrega de bases de datos de los registros administrativos,</w:t>
      </w:r>
      <w:r w:rsidRPr="003A174E">
        <w:rPr>
          <w:rFonts w:ascii="Georgia" w:eastAsia="+mn-ea" w:hAnsi="Georgia"/>
          <w:i/>
          <w:kern w:val="24"/>
          <w:sz w:val="24"/>
          <w:szCs w:val="24"/>
          <w:lang w:val="es-CO"/>
        </w:rPr>
        <w:t xml:space="preserve"> estarán sujetos a las sanciones y multas señaladas en el artículo 6° de la Ley 79 de 1993.</w:t>
      </w:r>
    </w:p>
    <w:p w:rsidR="00EC45FF" w:rsidRPr="003A174E" w:rsidRDefault="00EC45FF" w:rsidP="00EC45FF">
      <w:pPr>
        <w:pStyle w:val="NormalWeb"/>
        <w:spacing w:before="0" w:beforeAutospacing="0" w:afterLines="20" w:after="48" w:afterAutospacing="0"/>
        <w:jc w:val="both"/>
        <w:rPr>
          <w:rFonts w:ascii="Georgia" w:eastAsia="+mn-ea" w:hAnsi="Georgia" w:cs="Arial"/>
          <w:b/>
          <w:bCs/>
          <w:i/>
          <w:kern w:val="24"/>
        </w:rPr>
      </w:pPr>
    </w:p>
    <w:p w:rsidR="00EC45FF" w:rsidRPr="003A174E" w:rsidRDefault="00EC45FF" w:rsidP="00EC45FF">
      <w:pPr>
        <w:pStyle w:val="NormalWeb"/>
        <w:spacing w:before="0" w:beforeAutospacing="0" w:afterLines="20" w:after="48" w:afterAutospacing="0"/>
        <w:jc w:val="both"/>
        <w:rPr>
          <w:rFonts w:ascii="Georgia" w:eastAsia="+mn-ea" w:hAnsi="Georgia" w:cs="Arial"/>
          <w:i/>
          <w:kern w:val="24"/>
        </w:rPr>
      </w:pPr>
      <w:r w:rsidRPr="003A174E">
        <w:rPr>
          <w:rFonts w:ascii="Georgia" w:eastAsia="+mn-ea" w:hAnsi="Georgia" w:cs="Arial"/>
          <w:b/>
          <w:bCs/>
          <w:i/>
          <w:kern w:val="24"/>
        </w:rPr>
        <w:t>PARÁGRAFO 2.</w:t>
      </w:r>
      <w:r w:rsidRPr="003A174E">
        <w:rPr>
          <w:rFonts w:ascii="Georgia" w:eastAsia="+mn-ea" w:hAnsi="Georgia" w:cs="Arial"/>
          <w:i/>
          <w:kern w:val="24"/>
        </w:rPr>
        <w:t xml:space="preserve"> Con el fin de garantizar y contribuir al fortalecimiento de la calidad y coherencia de la información de que trata este artículo, los integrantes del SEN atenderán las obligaciones derivadas de las evaluaciones y requisitos de calidad estadística establecidos por el DANE. Adicionalmente, los integrantes del </w:t>
      </w:r>
      <w:r w:rsidRPr="003A174E">
        <w:rPr>
          <w:rFonts w:ascii="Georgia" w:eastAsia="+mn-ea" w:hAnsi="Georgia" w:cs="Arial"/>
          <w:i/>
          <w:kern w:val="24"/>
        </w:rPr>
        <w:lastRenderedPageBreak/>
        <w:t xml:space="preserve">SEN podrán intercambiar información estadística, hasta el nivel de microdato, de forma gratuita y oportuna, de acuerdo con la reglamentación que para el efecto expida el Gobierno nacional. </w:t>
      </w:r>
      <w:r w:rsidRPr="003A174E">
        <w:rPr>
          <w:rFonts w:ascii="Georgia" w:eastAsia="+mn-ea" w:hAnsi="Georgia" w:cs="Arial"/>
          <w:bCs/>
          <w:i/>
          <w:kern w:val="24"/>
        </w:rPr>
        <w:t>Las entidades que hagan parte del intercambio de información deben salvaguardar la confidencialidad y reserva de la misma.</w:t>
      </w:r>
      <w:r w:rsidRPr="003A174E">
        <w:rPr>
          <w:rFonts w:ascii="Georgia" w:eastAsia="+mn-ea" w:hAnsi="Georgia" w:cs="Arial"/>
          <w:i/>
          <w:kern w:val="24"/>
        </w:rPr>
        <w:t xml:space="preserve"> </w:t>
      </w:r>
    </w:p>
    <w:p w:rsidR="00EC45FF" w:rsidRPr="003A174E" w:rsidRDefault="00EC45FF" w:rsidP="00EC45FF">
      <w:pPr>
        <w:pStyle w:val="NormalWeb"/>
        <w:spacing w:before="0" w:beforeAutospacing="0" w:afterLines="20" w:after="48" w:afterAutospacing="0"/>
        <w:jc w:val="both"/>
        <w:rPr>
          <w:rFonts w:ascii="Georgia" w:hAnsi="Georgia" w:cs="Arial"/>
          <w:i/>
        </w:rPr>
      </w:pPr>
    </w:p>
    <w:p w:rsidR="00EC45FF" w:rsidRPr="003A174E" w:rsidRDefault="00EC45FF" w:rsidP="00EC45FF">
      <w:pPr>
        <w:pStyle w:val="NormalWeb"/>
        <w:spacing w:before="0" w:beforeAutospacing="0" w:afterLines="20" w:after="48" w:afterAutospacing="0"/>
        <w:jc w:val="both"/>
        <w:rPr>
          <w:rFonts w:ascii="Georgia" w:hAnsi="Georgia" w:cs="Arial"/>
          <w:i/>
        </w:rPr>
      </w:pPr>
      <w:r w:rsidRPr="003A174E">
        <w:rPr>
          <w:rFonts w:ascii="Georgia" w:eastAsia="+mn-ea" w:hAnsi="Georgia" w:cs="Arial"/>
          <w:b/>
          <w:bCs/>
          <w:i/>
          <w:kern w:val="24"/>
        </w:rPr>
        <w:t>PARÁGRAFO 3.</w:t>
      </w:r>
      <w:r w:rsidRPr="003A174E">
        <w:rPr>
          <w:rFonts w:ascii="Georgia" w:eastAsia="+mn-ea" w:hAnsi="Georgia" w:cs="Arial"/>
          <w:i/>
          <w:kern w:val="24"/>
        </w:rPr>
        <w:t xml:space="preserve"> Con el fin de asesorar y evaluar el desarrollo del SEN y la producción estadística nacional, créase el Consejo Asesor Técnico del Sistema Estadístico Nacional como órgano de carácter consultivo. El Gobierno nacional reglamentará los principios, la composición y funcionamiento de este consejo.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NormalWeb"/>
        <w:spacing w:before="0" w:beforeAutospacing="0" w:afterLines="20" w:after="48" w:afterAutospacing="0"/>
        <w:jc w:val="both"/>
        <w:rPr>
          <w:rFonts w:ascii="Georgia" w:hAnsi="Georgia" w:cs="Arial"/>
          <w:i/>
        </w:rPr>
      </w:pPr>
      <w:r w:rsidRPr="003A174E">
        <w:rPr>
          <w:rFonts w:ascii="Georgia" w:eastAsia="+mn-ea" w:hAnsi="Georgia" w:cs="Arial"/>
          <w:b/>
          <w:bCs/>
          <w:i/>
          <w:kern w:val="24"/>
        </w:rPr>
        <w:t>PARÁGRAFO 4.</w:t>
      </w:r>
      <w:r w:rsidRPr="003A174E">
        <w:rPr>
          <w:rFonts w:ascii="Georgia" w:eastAsia="+mn-ea" w:hAnsi="Georgia" w:cs="Arial"/>
          <w:i/>
          <w:kern w:val="24"/>
        </w:rPr>
        <w:t xml:space="preserve"> </w:t>
      </w:r>
      <w:r w:rsidRPr="003A174E">
        <w:rPr>
          <w:rFonts w:ascii="Georgia" w:eastAsia="+mn-ea" w:hAnsi="Georgia" w:cs="Arial"/>
          <w:bCs/>
          <w:i/>
          <w:kern w:val="24"/>
        </w:rPr>
        <w:t>Con el fin de garantizar una plena identificación y caracterización de la oferta de información estadística en el país,</w:t>
      </w:r>
      <w:r w:rsidRPr="003A174E">
        <w:rPr>
          <w:rFonts w:ascii="Georgia" w:eastAsia="+mn-ea" w:hAnsi="Georgia" w:cs="Arial"/>
          <w:i/>
          <w:kern w:val="24"/>
        </w:rPr>
        <w:t xml:space="preserve"> los miembros del SEN estarán obligados a reportar la creación, actualización y cualquier otra novedad en la producción y difusión de información estadística o registros administrativos en el sistema informático que defina para </w:t>
      </w:r>
      <w:r w:rsidRPr="003A174E">
        <w:rPr>
          <w:rFonts w:ascii="Georgia" w:eastAsia="+mn-ea" w:hAnsi="Georgia" w:cs="Arial"/>
          <w:bCs/>
          <w:i/>
          <w:kern w:val="24"/>
        </w:rPr>
        <w:t>este</w:t>
      </w:r>
      <w:r w:rsidRPr="003A174E">
        <w:rPr>
          <w:rFonts w:ascii="Georgia" w:eastAsia="+mn-ea" w:hAnsi="Georgia" w:cs="Arial"/>
          <w:i/>
          <w:kern w:val="24"/>
        </w:rPr>
        <w:t xml:space="preserve"> efecto el DANE </w:t>
      </w:r>
      <w:r w:rsidRPr="003A174E">
        <w:rPr>
          <w:rFonts w:ascii="Georgia" w:eastAsia="+mn-ea" w:hAnsi="Georgia" w:cs="Arial"/>
          <w:bCs/>
          <w:i/>
          <w:kern w:val="24"/>
        </w:rPr>
        <w:t>y de acuerdo con la periodicidad establecida en el Plan Estadístico Nacional. Este sistema informático contendrá los metadatos de las operaciones estadísticas y de los registros administrativos para aprovechamiento estadístico.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NormalWeb"/>
        <w:spacing w:before="0" w:beforeAutospacing="0" w:afterLines="20" w:after="48" w:afterAutospacing="0"/>
        <w:jc w:val="both"/>
        <w:rPr>
          <w:rFonts w:ascii="Georgia" w:hAnsi="Georgia" w:cs="Arial"/>
          <w:i/>
        </w:rPr>
      </w:pPr>
      <w:r w:rsidRPr="003A174E">
        <w:rPr>
          <w:rFonts w:ascii="Georgia" w:eastAsia="+mn-ea" w:hAnsi="Georgia" w:cs="Arial"/>
          <w:b/>
          <w:bCs/>
          <w:i/>
          <w:kern w:val="24"/>
        </w:rPr>
        <w:t>PARÁGRAFO 5.</w:t>
      </w:r>
      <w:r w:rsidRPr="003A174E">
        <w:rPr>
          <w:rFonts w:ascii="Georgia" w:eastAsia="+mn-ea" w:hAnsi="Georgia" w:cs="Arial"/>
          <w:bCs/>
          <w:i/>
          <w:kern w:val="24"/>
        </w:rPr>
        <w:t xml:space="preserve"> El Gobierno nacional dispondrá de los recursos necesarios para que, bajo la coordinación del DANE, las operaciones estadísticas que hacen parte del Sistema Estadístico Nacional, aumenten su cobertura y difundan sus resultados con desagregación a nivel territorial de distritos y municipios que sean capitales de departamentos y los departamentos de categoría especial. En todo caso, deberá surtir una evaluación de viabilidad técnica a fin de preservar la reserva estadística y atributos de calidad de la operación.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eastAsia="+mn-ea" w:hAnsi="Georgia"/>
          <w:bCs/>
          <w:i/>
          <w:kern w:val="24"/>
          <w:sz w:val="24"/>
          <w:szCs w:val="24"/>
          <w:lang w:val="es-CO"/>
        </w:rPr>
      </w:pPr>
      <w:r w:rsidRPr="003A174E">
        <w:rPr>
          <w:rFonts w:ascii="Georgia" w:eastAsia="+mn-ea" w:hAnsi="Georgia"/>
          <w:b/>
          <w:bCs/>
          <w:i/>
          <w:kern w:val="24"/>
          <w:sz w:val="24"/>
          <w:szCs w:val="24"/>
          <w:lang w:val="es-CO"/>
        </w:rPr>
        <w:t>PARÁGRAFO 6.</w:t>
      </w:r>
      <w:r w:rsidRPr="003A174E">
        <w:rPr>
          <w:rFonts w:ascii="Georgia" w:eastAsia="+mn-ea" w:hAnsi="Georgia"/>
          <w:bCs/>
          <w:i/>
          <w:kern w:val="24"/>
          <w:sz w:val="24"/>
          <w:szCs w:val="24"/>
          <w:lang w:val="es-CO"/>
        </w:rPr>
        <w:t xml:space="preserve"> El Departamento Administrativo Nacional de Estadística - DANE brindará asesoría y asistencia técnica en la formulación de Planes Estadísticos Territoriales, así como en los lineamientos y estándares para la producción y difusión de información estadística en los distritos y municipios que sean capitales de departamentos y los departamentos de categoría especial.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eastAsia="+mn-ea" w:hAnsi="Georgia"/>
          <w:bCs/>
          <w:i/>
          <w:kern w:val="24"/>
          <w:sz w:val="24"/>
          <w:szCs w:val="24"/>
          <w:lang w:val="es-CO"/>
        </w:rPr>
      </w:pPr>
      <w:r w:rsidRPr="003A174E">
        <w:rPr>
          <w:rFonts w:ascii="Georgia" w:hAnsi="Georgia"/>
          <w:b/>
          <w:i/>
          <w:sz w:val="24"/>
          <w:szCs w:val="24"/>
        </w:rPr>
        <w:t>ARTÍCULO</w:t>
      </w:r>
      <w:r>
        <w:rPr>
          <w:rFonts w:ascii="Georgia" w:hAnsi="Georgia"/>
          <w:b/>
          <w:i/>
          <w:sz w:val="24"/>
          <w:szCs w:val="24"/>
          <w:lang w:val="es-ES"/>
        </w:rPr>
        <w:t xml:space="preserve"> 164</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xml:space="preserve">. POTESTAD SANCIONATORIA DEL ICA E INFRACCIONES. </w:t>
      </w:r>
      <w:r w:rsidRPr="003A174E">
        <w:rPr>
          <w:rFonts w:ascii="Georgia" w:hAnsi="Georgia"/>
          <w:i/>
          <w:sz w:val="24"/>
          <w:szCs w:val="24"/>
        </w:rPr>
        <w:t xml:space="preserve">El Estado es el titular de la potestad sancionatoria en materia sanitaria, fitosanitaria, de inocuidad y forestal comercial y la ejerce, sin perjuicio de las competencias legales de otras autoridades, a través del Instituto Colombiano </w:t>
      </w:r>
      <w:r w:rsidRPr="003A174E">
        <w:rPr>
          <w:rFonts w:ascii="Georgia" w:eastAsia="+mn-ea" w:hAnsi="Georgia"/>
          <w:bCs/>
          <w:i/>
          <w:kern w:val="24"/>
          <w:sz w:val="24"/>
          <w:szCs w:val="24"/>
          <w:lang w:val="es-CO"/>
        </w:rPr>
        <w:t>Agropecuario – ICA, conforme lo dispuesto en la presente ley.</w:t>
      </w:r>
    </w:p>
    <w:p w:rsidR="00EC45FF" w:rsidRPr="003A174E" w:rsidRDefault="00EC45FF" w:rsidP="00EC45FF">
      <w:pPr>
        <w:spacing w:afterLines="20" w:after="48" w:line="240" w:lineRule="auto"/>
        <w:jc w:val="both"/>
        <w:rPr>
          <w:rFonts w:ascii="Georgia" w:eastAsia="+mn-ea" w:hAnsi="Georgia"/>
          <w:bCs/>
          <w:i/>
          <w:kern w:val="24"/>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eastAsia="+mn-ea" w:hAnsi="Georgia"/>
          <w:bCs/>
          <w:i/>
          <w:kern w:val="24"/>
          <w:sz w:val="24"/>
          <w:szCs w:val="24"/>
          <w:lang w:val="es-CO"/>
        </w:rPr>
        <w:t>Será</w:t>
      </w:r>
      <w:r w:rsidRPr="003A174E">
        <w:rPr>
          <w:rFonts w:ascii="Georgia" w:hAnsi="Georgia"/>
          <w:i/>
          <w:sz w:val="24"/>
          <w:szCs w:val="24"/>
        </w:rPr>
        <w:t xml:space="preserve"> infracción toda acción u omisión que contravenga las disposiciones establecidas en el ordenamiento jurídico en materia sanitaria, fitosanitaria, de inocuidad y forestal comercial, en especial cuando impida u obstruya el desarrollo o la ejecución de cualquiera de las siguientes actividades:</w:t>
      </w:r>
    </w:p>
    <w:p w:rsidR="00EC45FF" w:rsidRPr="003A174E" w:rsidRDefault="00EC45FF" w:rsidP="00EC45FF">
      <w:pPr>
        <w:pStyle w:val="Prrafodelista"/>
        <w:spacing w:after="0" w:line="240" w:lineRule="auto"/>
        <w:ind w:left="709"/>
        <w:jc w:val="both"/>
        <w:rPr>
          <w:rFonts w:ascii="Georgia" w:hAnsi="Georgia" w:cs="Arial"/>
          <w:i/>
          <w:sz w:val="24"/>
          <w:szCs w:val="24"/>
        </w:rPr>
      </w:pP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lastRenderedPageBreak/>
        <w:t>Campañas de prevención, erradicación y manejo de plagas y enfermedades;</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Desarrollo de cuarentena agropecuaria;</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Actividades de inspección, vigilancia y control sanitario, fitosanitario y de inocuidad;</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 xml:space="preserve">Diagnóstico, la vigilancia epidemiológica y sanitaria animal y vegetal; </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Exportación e importación de animales, vegetales, sus productos y sus subproductos y agroinsumos;</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Control técnico de los insumos agropecuarios, material genético animal, vegetal y semillas para siembra;</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Operación de establecimientos comerciales agropecuarios.</w:t>
      </w:r>
    </w:p>
    <w:p w:rsidR="00EC45FF" w:rsidRPr="003A174E" w:rsidRDefault="00EC45FF" w:rsidP="00EC45FF">
      <w:pPr>
        <w:pStyle w:val="Prrafodelista"/>
        <w:numPr>
          <w:ilvl w:val="0"/>
          <w:numId w:val="13"/>
        </w:numPr>
        <w:spacing w:after="0" w:line="240" w:lineRule="auto"/>
        <w:contextualSpacing w:val="0"/>
        <w:jc w:val="both"/>
        <w:rPr>
          <w:rFonts w:ascii="Georgia" w:hAnsi="Georgia" w:cs="Arial"/>
          <w:i/>
          <w:sz w:val="24"/>
          <w:szCs w:val="24"/>
        </w:rPr>
      </w:pPr>
      <w:r w:rsidRPr="003A174E">
        <w:rPr>
          <w:rFonts w:ascii="Georgia" w:hAnsi="Georgia" w:cs="Arial"/>
          <w:i/>
          <w:sz w:val="24"/>
          <w:szCs w:val="24"/>
        </w:rPr>
        <w:t xml:space="preserve">Inscripción o expedición de certificados de movilización de plantaciones </w:t>
      </w:r>
      <w:r w:rsidRPr="003A174E">
        <w:rPr>
          <w:rFonts w:ascii="Georgia" w:eastAsia="+mn-ea" w:hAnsi="Georgia" w:cs="Arial"/>
          <w:bCs/>
          <w:i/>
          <w:kern w:val="24"/>
          <w:sz w:val="24"/>
          <w:szCs w:val="24"/>
          <w:lang w:val="es-CO"/>
        </w:rPr>
        <w:t xml:space="preserve">forestales comerciales. </w:t>
      </w:r>
    </w:p>
    <w:p w:rsidR="00EC45FF" w:rsidRPr="003A174E" w:rsidRDefault="00EC45FF" w:rsidP="00EC45FF">
      <w:pPr>
        <w:spacing w:afterLines="20" w:after="48" w:line="240" w:lineRule="auto"/>
        <w:jc w:val="both"/>
        <w:rPr>
          <w:rFonts w:ascii="Georgia" w:eastAsia="+mn-ea" w:hAnsi="Georgia"/>
          <w:bCs/>
          <w:i/>
          <w:kern w:val="24"/>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eastAsia="+mn-ea" w:hAnsi="Georgia"/>
          <w:b/>
          <w:bCs/>
          <w:i/>
          <w:kern w:val="24"/>
          <w:sz w:val="24"/>
          <w:szCs w:val="24"/>
          <w:lang w:val="es-CO"/>
        </w:rPr>
        <w:t>PARÁGRAF</w:t>
      </w:r>
      <w:r w:rsidRPr="003A174E">
        <w:rPr>
          <w:rFonts w:ascii="Georgia" w:hAnsi="Georgia"/>
          <w:b/>
          <w:i/>
          <w:sz w:val="24"/>
          <w:szCs w:val="24"/>
        </w:rPr>
        <w:t>O</w:t>
      </w:r>
      <w:r w:rsidRPr="003A174E">
        <w:rPr>
          <w:rFonts w:ascii="Georgia" w:hAnsi="Georgia"/>
          <w:b/>
          <w:i/>
          <w:sz w:val="24"/>
          <w:szCs w:val="24"/>
          <w:lang w:val="es-ES"/>
        </w:rPr>
        <w:t xml:space="preserve"> PRIMERO</w:t>
      </w:r>
      <w:r w:rsidRPr="003A174E">
        <w:rPr>
          <w:rFonts w:ascii="Georgia" w:hAnsi="Georgia"/>
          <w:b/>
          <w:i/>
          <w:sz w:val="24"/>
          <w:szCs w:val="24"/>
        </w:rPr>
        <w:t xml:space="preserve">. </w:t>
      </w:r>
      <w:r w:rsidRPr="003A174E">
        <w:rPr>
          <w:rFonts w:ascii="Georgia" w:hAnsi="Georgia"/>
          <w:i/>
          <w:sz w:val="24"/>
          <w:szCs w:val="24"/>
        </w:rPr>
        <w:t xml:space="preserve">La aplicación del régimen administrativo sancionatorio establecido en la presente ley, por parte del Instituto Colombiano Agropecuario – ICA, se regirá por lo previsto en el Título III de la Ley 1437 de 2011 y demás normas que lo modifiquen, adicionen o sustituyan. Lo anterior, para asegurar el debido proceso en el trámite.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PARÁGRAGO SEGUNDO.</w:t>
      </w:r>
      <w:r w:rsidRPr="003A174E">
        <w:rPr>
          <w:rFonts w:ascii="Georgia" w:hAnsi="Georgia"/>
          <w:i/>
          <w:sz w:val="24"/>
          <w:szCs w:val="24"/>
        </w:rPr>
        <w:t xml:space="preserve"> El Ministerio de Agricultura y Desarrollo Rural en conjunto con AGROSIVA y el ICA, formularán un programa de fomento y apoyo a los sistemas locales de semillas para el rescate, conservación, uso, promoción y protección de semillas criollas y nativas.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TERCERO</w:t>
      </w:r>
      <w:r w:rsidRPr="003A174E">
        <w:rPr>
          <w:rFonts w:ascii="Georgia" w:hAnsi="Georgia"/>
          <w:i/>
          <w:sz w:val="24"/>
          <w:szCs w:val="24"/>
        </w:rPr>
        <w:t>. El Ministerio de Agricultura y Desarrollo Rural y el ICA rendirán informe escrito, durante los meses de septiembre y abril de cada año, a las comisiones quintas de Senado y Cámara sobre el avance del ICA en el fortalecimiento del sector pecuario nacional, en materia de sanidad, inocuidad y trazabilidad en materia agrícola para asegurar la sanidad vegetal.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rPr>
        <w:t>ARTÍCULO 165</w:t>
      </w:r>
      <w:r w:rsidRPr="003A174E">
        <w:rPr>
          <w:rFonts w:ascii="Georgia" w:hAnsi="Georgia"/>
          <w:b/>
          <w:i/>
          <w:sz w:val="24"/>
          <w:szCs w:val="24"/>
          <w:lang w:val="es-ES"/>
        </w:rPr>
        <w:t>º</w:t>
      </w:r>
      <w:r w:rsidRPr="003A174E">
        <w:rPr>
          <w:rFonts w:ascii="Georgia" w:hAnsi="Georgia"/>
          <w:b/>
          <w:i/>
          <w:sz w:val="24"/>
          <w:szCs w:val="24"/>
        </w:rPr>
        <w:t xml:space="preserve"> (NUEVO). SANCIONES ADMINISTRATIVAS.</w:t>
      </w:r>
      <w:r w:rsidRPr="003A174E">
        <w:rPr>
          <w:rFonts w:ascii="Georgia" w:hAnsi="Georgia"/>
          <w:i/>
          <w:sz w:val="24"/>
          <w:szCs w:val="24"/>
        </w:rPr>
        <w:t xml:space="preserve"> Las infracciones a que se refiere la presente ley serán objeto de sanción administrativa por parte del Instituto Colombiano Agropecuario - ICA, sin perjuicio de las acciones penales y civiles a que haya lugar.  Las sanciones serán las siguientes:</w:t>
      </w:r>
    </w:p>
    <w:p w:rsidR="00EC45FF" w:rsidRPr="003A174E" w:rsidRDefault="00EC45FF" w:rsidP="00EC45FF">
      <w:pPr>
        <w:pStyle w:val="Prrafodelista"/>
        <w:spacing w:after="0" w:line="240" w:lineRule="auto"/>
        <w:jc w:val="both"/>
        <w:rPr>
          <w:rFonts w:ascii="Georgia" w:hAnsi="Georgia" w:cs="Arial"/>
          <w:i/>
          <w:sz w:val="24"/>
          <w:szCs w:val="24"/>
        </w:rPr>
      </w:pPr>
    </w:p>
    <w:p w:rsidR="00EC45FF" w:rsidRPr="003A174E" w:rsidRDefault="00EC45FF" w:rsidP="00EC45FF">
      <w:pPr>
        <w:pStyle w:val="Prrafodelista"/>
        <w:numPr>
          <w:ilvl w:val="0"/>
          <w:numId w:val="14"/>
        </w:numPr>
        <w:spacing w:after="0" w:line="240" w:lineRule="auto"/>
        <w:ind w:left="1068"/>
        <w:contextualSpacing w:val="0"/>
        <w:jc w:val="both"/>
        <w:rPr>
          <w:rFonts w:ascii="Georgia" w:hAnsi="Georgia" w:cs="Arial"/>
          <w:i/>
          <w:color w:val="000000"/>
          <w:sz w:val="24"/>
          <w:szCs w:val="24"/>
        </w:rPr>
      </w:pPr>
      <w:r w:rsidRPr="003A174E">
        <w:rPr>
          <w:rFonts w:ascii="Georgia" w:hAnsi="Georgia" w:cs="Arial"/>
          <w:i/>
          <w:color w:val="000000"/>
          <w:sz w:val="24"/>
          <w:szCs w:val="24"/>
        </w:rPr>
        <w:t>Amonestación escrita o llamado de atención, con un plazo para que el infractor cese su incumplimiento.</w:t>
      </w:r>
    </w:p>
    <w:p w:rsidR="00EC45FF" w:rsidRPr="003A174E" w:rsidRDefault="00EC45FF" w:rsidP="00EC45FF">
      <w:pPr>
        <w:pStyle w:val="Prrafodelista"/>
        <w:numPr>
          <w:ilvl w:val="0"/>
          <w:numId w:val="14"/>
        </w:numPr>
        <w:spacing w:after="0" w:line="240" w:lineRule="auto"/>
        <w:ind w:left="1068"/>
        <w:contextualSpacing w:val="0"/>
        <w:jc w:val="both"/>
        <w:rPr>
          <w:rFonts w:ascii="Georgia" w:hAnsi="Georgia" w:cs="Arial"/>
          <w:i/>
          <w:color w:val="000000"/>
          <w:sz w:val="24"/>
          <w:szCs w:val="24"/>
        </w:rPr>
      </w:pPr>
      <w:r w:rsidRPr="003A174E">
        <w:rPr>
          <w:rFonts w:ascii="Georgia" w:hAnsi="Georgia" w:cs="Arial"/>
          <w:i/>
          <w:color w:val="000000"/>
          <w:sz w:val="24"/>
          <w:szCs w:val="24"/>
        </w:rPr>
        <w:t>Multa, representada en salarios mínimos legales mensuales vigentes, que oscilan de acuerdo a la gravedad de la conducta, desde un (1) salario hasta diez mil (10.000) salarios mínimos legales mensuales vigentes, para la fecha de ocurrencia de los hechos.</w:t>
      </w:r>
    </w:p>
    <w:p w:rsidR="00EC45FF" w:rsidRPr="003A174E" w:rsidRDefault="00EC45FF" w:rsidP="00EC45FF">
      <w:pPr>
        <w:pStyle w:val="Prrafodelista"/>
        <w:spacing w:after="0" w:line="240" w:lineRule="auto"/>
        <w:ind w:left="1068"/>
        <w:jc w:val="both"/>
        <w:rPr>
          <w:rFonts w:ascii="Georgia" w:hAnsi="Georgia" w:cs="Arial"/>
          <w:i/>
          <w:color w:val="000000"/>
          <w:sz w:val="24"/>
          <w:szCs w:val="24"/>
        </w:rPr>
      </w:pPr>
      <w:r w:rsidRPr="003A174E">
        <w:rPr>
          <w:rFonts w:ascii="Georgia" w:hAnsi="Georgia" w:cs="Arial"/>
          <w:i/>
          <w:color w:val="000000"/>
          <w:sz w:val="24"/>
          <w:szCs w:val="24"/>
        </w:rPr>
        <w:t xml:space="preserve">El ICA podrá imponer multas sucesivas cuando corrobore que el sancionado ha persistido en su incumplimiento.  </w:t>
      </w:r>
    </w:p>
    <w:p w:rsidR="00EC45FF" w:rsidRPr="003A174E" w:rsidRDefault="00EC45FF" w:rsidP="00EC45FF">
      <w:pPr>
        <w:pStyle w:val="Prrafodelista"/>
        <w:numPr>
          <w:ilvl w:val="0"/>
          <w:numId w:val="14"/>
        </w:numPr>
        <w:spacing w:after="0" w:line="240" w:lineRule="auto"/>
        <w:ind w:left="1068"/>
        <w:contextualSpacing w:val="0"/>
        <w:jc w:val="both"/>
        <w:rPr>
          <w:rFonts w:ascii="Georgia" w:hAnsi="Georgia" w:cs="Arial"/>
          <w:i/>
          <w:color w:val="000000"/>
          <w:sz w:val="24"/>
          <w:szCs w:val="24"/>
        </w:rPr>
      </w:pPr>
      <w:r w:rsidRPr="003A174E">
        <w:rPr>
          <w:rFonts w:ascii="Georgia" w:hAnsi="Georgia" w:cs="Arial"/>
          <w:i/>
          <w:color w:val="000000"/>
          <w:sz w:val="24"/>
          <w:szCs w:val="24"/>
        </w:rPr>
        <w:t>La prohibición temporal o definitiva de la producción de especies animales y/o vegetales.</w:t>
      </w:r>
    </w:p>
    <w:p w:rsidR="00EC45FF" w:rsidRPr="003A174E" w:rsidRDefault="00EC45FF" w:rsidP="00EC45FF">
      <w:pPr>
        <w:pStyle w:val="Prrafodelista"/>
        <w:numPr>
          <w:ilvl w:val="0"/>
          <w:numId w:val="14"/>
        </w:numPr>
        <w:spacing w:after="0" w:line="240" w:lineRule="auto"/>
        <w:ind w:left="1068"/>
        <w:contextualSpacing w:val="0"/>
        <w:jc w:val="both"/>
        <w:rPr>
          <w:rFonts w:ascii="Georgia" w:hAnsi="Georgia" w:cs="Arial"/>
          <w:i/>
          <w:color w:val="000000"/>
          <w:sz w:val="24"/>
          <w:szCs w:val="24"/>
        </w:rPr>
      </w:pPr>
      <w:r w:rsidRPr="003A174E">
        <w:rPr>
          <w:rFonts w:ascii="Georgia" w:hAnsi="Georgia" w:cs="Arial"/>
          <w:i/>
          <w:color w:val="000000"/>
          <w:sz w:val="24"/>
          <w:szCs w:val="24"/>
        </w:rPr>
        <w:lastRenderedPageBreak/>
        <w:t>La suspensión o cancelación de registros, permisos, certificaciones o autorizaciones concedidas por el ICA, hasta por el término de dos (2) años.</w:t>
      </w:r>
    </w:p>
    <w:p w:rsidR="00EC45FF" w:rsidRPr="003A174E" w:rsidRDefault="00EC45FF" w:rsidP="00EC45FF">
      <w:pPr>
        <w:pStyle w:val="Prrafodelista"/>
        <w:numPr>
          <w:ilvl w:val="0"/>
          <w:numId w:val="14"/>
        </w:numPr>
        <w:spacing w:after="0" w:line="240" w:lineRule="auto"/>
        <w:ind w:left="1068"/>
        <w:contextualSpacing w:val="0"/>
        <w:jc w:val="both"/>
        <w:rPr>
          <w:rFonts w:ascii="Georgia" w:hAnsi="Georgia" w:cs="Arial"/>
          <w:i/>
          <w:color w:val="000000"/>
          <w:sz w:val="24"/>
          <w:szCs w:val="24"/>
        </w:rPr>
      </w:pPr>
      <w:r w:rsidRPr="003A174E">
        <w:rPr>
          <w:rFonts w:ascii="Georgia" w:hAnsi="Georgia" w:cs="Arial"/>
          <w:i/>
          <w:color w:val="000000"/>
          <w:sz w:val="24"/>
          <w:szCs w:val="24"/>
        </w:rPr>
        <w:t xml:space="preserve">La suspensión o cancelación, hasta por el término de dos (2) años, de los </w:t>
      </w:r>
      <w:r w:rsidRPr="003A174E">
        <w:rPr>
          <w:rFonts w:ascii="Georgia" w:hAnsi="Georgia" w:cs="Arial"/>
          <w:i/>
          <w:sz w:val="24"/>
          <w:szCs w:val="24"/>
        </w:rPr>
        <w:t>servicios que el ICA preste al infractor.</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PRIMERO</w:t>
      </w:r>
      <w:r w:rsidRPr="003A174E">
        <w:rPr>
          <w:rFonts w:ascii="Georgia" w:hAnsi="Georgia"/>
          <w:i/>
          <w:sz w:val="24"/>
          <w:szCs w:val="24"/>
        </w:rPr>
        <w:t>. Dependiendo de la gravedad de la infracción, el ICA podrá imponer una o varias de las sanciones contempladas en la presente ley, atendiendo a los criterios de graduación contenidos en el artículo 50 de la Ley 1437 de 2011.  En todo caso, la imposición de las sanciones aquí señaladas no exime al infractor del deber de ejecutar las acciones a que esté obligado.</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color w:val="000000"/>
          <w:sz w:val="24"/>
          <w:szCs w:val="24"/>
        </w:rPr>
      </w:pPr>
      <w:r w:rsidRPr="003A174E">
        <w:rPr>
          <w:rFonts w:ascii="Georgia" w:hAnsi="Georgia"/>
          <w:b/>
          <w:i/>
          <w:sz w:val="24"/>
          <w:szCs w:val="24"/>
        </w:rPr>
        <w:t>PARÁGRAFO</w:t>
      </w:r>
      <w:r w:rsidRPr="003A174E">
        <w:rPr>
          <w:rFonts w:ascii="Georgia" w:hAnsi="Georgia"/>
          <w:b/>
          <w:i/>
          <w:color w:val="000000"/>
          <w:sz w:val="24"/>
          <w:szCs w:val="24"/>
        </w:rPr>
        <w:t xml:space="preserve"> SEGUNDO.</w:t>
      </w:r>
      <w:r w:rsidRPr="003A174E">
        <w:rPr>
          <w:rFonts w:ascii="Georgia" w:hAnsi="Georgia"/>
          <w:i/>
          <w:color w:val="000000"/>
          <w:sz w:val="24"/>
          <w:szCs w:val="24"/>
        </w:rPr>
        <w:t xml:space="preserve"> Los actos administrativos expedidos por el ICA que impongan sanciones pecuniarias, una vez ejecutoriados, prestan mérito ejecutivo y su cobro podrá hacerse a través de la jurisdicción coactiva.</w:t>
      </w:r>
    </w:p>
    <w:p w:rsidR="00EC45FF" w:rsidRPr="003A174E" w:rsidRDefault="00EC45FF" w:rsidP="00EC45FF">
      <w:pPr>
        <w:jc w:val="both"/>
        <w:rPr>
          <w:rFonts w:ascii="Georgia" w:hAnsi="Georgia"/>
          <w:b/>
          <w:i/>
          <w:color w:val="000000"/>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color w:val="000000"/>
          <w:sz w:val="24"/>
          <w:szCs w:val="24"/>
        </w:rPr>
        <w:t xml:space="preserve">PARÁGRAFO TERCERO. </w:t>
      </w:r>
      <w:r w:rsidRPr="003A174E">
        <w:rPr>
          <w:rFonts w:ascii="Georgia" w:hAnsi="Georgia"/>
          <w:i/>
          <w:color w:val="000000"/>
          <w:sz w:val="24"/>
          <w:szCs w:val="24"/>
        </w:rPr>
        <w:t xml:space="preserve">El no pago de la sanción pecuniaria dentro del término de cinco (5) días siguientes a la ejecutoria del acto a través del cual se impone la sanción, o el incumplimiento al acuerdo de pago suscrito con el Instituto </w:t>
      </w:r>
      <w:r w:rsidRPr="003A174E">
        <w:rPr>
          <w:rFonts w:ascii="Georgia" w:hAnsi="Georgia"/>
          <w:i/>
          <w:sz w:val="24"/>
          <w:szCs w:val="24"/>
        </w:rPr>
        <w:t>Colombiano Agropecuario - ICA, dará lugar a la liquidación y pago de intereses moratorios a la tasa prevista para el impuesto de renta y complementarios.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CUARTO</w:t>
      </w:r>
      <w:r w:rsidRPr="003A174E">
        <w:rPr>
          <w:rFonts w:ascii="Georgia" w:hAnsi="Georgia"/>
          <w:i/>
          <w:sz w:val="24"/>
          <w:szCs w:val="24"/>
        </w:rPr>
        <w:t>. Las sumas recaudadas por concepto de multas ingresarán al Instituto Colombiano Agropecuario – ICA, y serán considerados como ingresos propios de la Entidad para financiar los planes y programas de control y vigilancia.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rPr>
        <w:t>ARTÍCULO 166</w:t>
      </w:r>
      <w:r w:rsidRPr="003A174E">
        <w:rPr>
          <w:rFonts w:ascii="Georgia" w:hAnsi="Georgia"/>
          <w:b/>
          <w:i/>
          <w:sz w:val="24"/>
          <w:szCs w:val="24"/>
          <w:lang w:val="es-ES"/>
        </w:rPr>
        <w:t xml:space="preserve">º </w:t>
      </w:r>
      <w:r w:rsidRPr="003A174E">
        <w:rPr>
          <w:rFonts w:ascii="Georgia" w:hAnsi="Georgia"/>
          <w:b/>
          <w:i/>
          <w:sz w:val="24"/>
          <w:szCs w:val="24"/>
        </w:rPr>
        <w:t>(NUEVO).  TASA, SUJETO ACTIVO Y PASIVO Y HECHOS GENERADORES.</w:t>
      </w:r>
      <w:r w:rsidRPr="003A174E">
        <w:rPr>
          <w:rFonts w:ascii="Georgia" w:hAnsi="Georgia"/>
          <w:i/>
          <w:sz w:val="24"/>
          <w:szCs w:val="24"/>
        </w:rPr>
        <w:t xml:space="preserve"> Créase la tasa para la recuperación de los costos de los servicios prestados por el Instituto Colombiano Agropecuario – ICA, en ejercicio de su función misional, para garantizar y proteger la sanidad animal, vegetal e inocuidad de la producción primaria.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El sujeto activo de la tasa creada por la presente ley será el Instituto Colombiano Agropecuario – ICA.  Tendrán la condición de sujeto pasivo de la tasa, las personas naturales o jurídicas que soliciten cualquiera de los servicios prestados por el Instituto Colombiano Agropecuario – ICA.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Son hechos generadores de la tasa que se crea en la presente ley, los siguientes:</w:t>
      </w:r>
    </w:p>
    <w:p w:rsidR="00EC45FF" w:rsidRPr="003A174E" w:rsidRDefault="00EC45FF" w:rsidP="00EC45FF">
      <w:pPr>
        <w:pStyle w:val="Prrafodelista"/>
        <w:spacing w:after="0" w:line="240" w:lineRule="auto"/>
        <w:jc w:val="both"/>
        <w:rPr>
          <w:rFonts w:ascii="Georgia" w:hAnsi="Georgia" w:cs="Arial"/>
          <w:i/>
          <w:sz w:val="24"/>
          <w:szCs w:val="24"/>
        </w:rPr>
      </w:pPr>
    </w:p>
    <w:p w:rsidR="00EC45FF" w:rsidRPr="003A174E" w:rsidRDefault="00EC45FF" w:rsidP="00EC45FF">
      <w:pPr>
        <w:pStyle w:val="Prrafodelista"/>
        <w:numPr>
          <w:ilvl w:val="0"/>
          <w:numId w:val="15"/>
        </w:numPr>
        <w:spacing w:after="0" w:line="240" w:lineRule="auto"/>
        <w:contextualSpacing w:val="0"/>
        <w:jc w:val="both"/>
        <w:rPr>
          <w:rFonts w:ascii="Georgia" w:hAnsi="Georgia" w:cs="Arial"/>
          <w:i/>
          <w:sz w:val="24"/>
          <w:szCs w:val="24"/>
        </w:rPr>
      </w:pPr>
      <w:r w:rsidRPr="003A174E">
        <w:rPr>
          <w:rFonts w:ascii="Georgia" w:hAnsi="Georgia" w:cs="Arial"/>
          <w:i/>
          <w:sz w:val="24"/>
          <w:szCs w:val="24"/>
        </w:rPr>
        <w:t>Expedición de registros, autorizaciones, habilitaciones, certificados, licencias, permisos, remisiones, publicaciones, inscripciones y conceptos en materia sanitaria, fitosanitaria, de inocuidad y forestal comercial.</w:t>
      </w:r>
    </w:p>
    <w:p w:rsidR="00EC45FF" w:rsidRPr="003A174E" w:rsidRDefault="00EC45FF" w:rsidP="00EC45FF">
      <w:pPr>
        <w:pStyle w:val="Prrafodelista"/>
        <w:numPr>
          <w:ilvl w:val="0"/>
          <w:numId w:val="15"/>
        </w:numPr>
        <w:spacing w:after="0" w:line="240" w:lineRule="auto"/>
        <w:contextualSpacing w:val="0"/>
        <w:jc w:val="both"/>
        <w:rPr>
          <w:rFonts w:ascii="Georgia" w:hAnsi="Georgia" w:cs="Arial"/>
          <w:i/>
          <w:sz w:val="24"/>
          <w:szCs w:val="24"/>
        </w:rPr>
      </w:pPr>
      <w:r w:rsidRPr="003A174E">
        <w:rPr>
          <w:rFonts w:ascii="Georgia" w:hAnsi="Georgia" w:cs="Arial"/>
          <w:i/>
          <w:sz w:val="24"/>
          <w:szCs w:val="24"/>
        </w:rPr>
        <w:lastRenderedPageBreak/>
        <w:t>Realización de pruebas de laboratorio analíticas y diagnósticas de enfermedades y plagas, de verificación de requisitos técnicos de insumos agropecuarios y semillas y de detección de residuos y contaminantes en productos agropecuarios.</w:t>
      </w:r>
    </w:p>
    <w:p w:rsidR="00EC45FF" w:rsidRPr="003A174E" w:rsidRDefault="00EC45FF" w:rsidP="00EC45FF">
      <w:pPr>
        <w:pStyle w:val="Prrafodelista"/>
        <w:numPr>
          <w:ilvl w:val="0"/>
          <w:numId w:val="15"/>
        </w:numPr>
        <w:spacing w:after="0" w:line="240" w:lineRule="auto"/>
        <w:contextualSpacing w:val="0"/>
        <w:jc w:val="both"/>
        <w:rPr>
          <w:rFonts w:ascii="Georgia" w:hAnsi="Georgia" w:cs="Arial"/>
          <w:i/>
          <w:sz w:val="24"/>
          <w:szCs w:val="24"/>
        </w:rPr>
      </w:pPr>
      <w:r w:rsidRPr="003A174E">
        <w:rPr>
          <w:rFonts w:ascii="Georgia" w:hAnsi="Georgia" w:cs="Arial"/>
          <w:i/>
          <w:sz w:val="24"/>
          <w:szCs w:val="24"/>
        </w:rPr>
        <w:t>Realización de inspección física y cuarentenas agropecuarias para importación, exportación y reexportación.</w:t>
      </w:r>
    </w:p>
    <w:p w:rsidR="00EC45FF" w:rsidRPr="003A174E" w:rsidRDefault="00EC45FF" w:rsidP="00EC45FF">
      <w:pPr>
        <w:spacing w:afterLines="20" w:after="48" w:line="240" w:lineRule="auto"/>
        <w:jc w:val="both"/>
        <w:rPr>
          <w:rFonts w:ascii="Georgia" w:hAnsi="Georgia"/>
          <w:b/>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w:t>
      </w:r>
      <w:r w:rsidRPr="003A174E">
        <w:rPr>
          <w:rFonts w:ascii="Georgia" w:hAnsi="Georgia"/>
          <w:i/>
          <w:sz w:val="24"/>
          <w:szCs w:val="24"/>
        </w:rPr>
        <w:t>. La base para la liquidación de la tasa será el costo de los servicios correspondientes a cada uno de los hechos generadores establecidos en el artículo anterior, conforme la metodología de cálculo que establezca el Gobierno Nacional.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rPr>
        <w:t>ARTÍCULO 167º</w:t>
      </w:r>
      <w:r w:rsidRPr="003A174E">
        <w:rPr>
          <w:rFonts w:ascii="Georgia" w:hAnsi="Georgia"/>
          <w:b/>
          <w:i/>
          <w:sz w:val="24"/>
          <w:szCs w:val="24"/>
        </w:rPr>
        <w:t xml:space="preserve"> (NUEVO). MÉTODO Y SISTEMA PARA LA DETERMINACIÓN DE LAS TARIFAS. </w:t>
      </w:r>
      <w:r w:rsidRPr="003A174E">
        <w:rPr>
          <w:rFonts w:ascii="Georgia" w:hAnsi="Georgia"/>
          <w:i/>
          <w:sz w:val="24"/>
          <w:szCs w:val="24"/>
        </w:rPr>
        <w:t>El Instituto Colombiano Agropecuario – ICA fijará y actualizará anualmente las tarifas de los servicios que preste, por cada uno de los hechos generadores de la tasa.  Las tarifas se fijarán en salarios mínimos legales diarios vigentes y se cobrarán como recuperación de los costos de los servicios prestados por la entidad, para lo cual se utilizarán el siguiente método y sistema, teniendo en cuenta los costos administrativos, financieros, directos e indirectos, de operación y los costos de los programas de tecnificación.</w:t>
      </w:r>
    </w:p>
    <w:p w:rsidR="00EC45FF" w:rsidRPr="003A174E" w:rsidRDefault="00EC45FF" w:rsidP="00EC45FF">
      <w:pPr>
        <w:pStyle w:val="Prrafodelista"/>
        <w:spacing w:after="0" w:line="240" w:lineRule="auto"/>
        <w:jc w:val="both"/>
        <w:rPr>
          <w:rFonts w:ascii="Georgia" w:hAnsi="Georgia" w:cs="Arial"/>
          <w:i/>
          <w:sz w:val="24"/>
          <w:szCs w:val="24"/>
        </w:rPr>
      </w:pPr>
    </w:p>
    <w:p w:rsidR="00EC45FF" w:rsidRPr="003A174E" w:rsidRDefault="00EC45FF" w:rsidP="00EC45FF">
      <w:pPr>
        <w:pStyle w:val="Prrafodelista"/>
        <w:numPr>
          <w:ilvl w:val="0"/>
          <w:numId w:val="16"/>
        </w:numPr>
        <w:spacing w:after="0" w:line="240" w:lineRule="auto"/>
        <w:ind w:left="1045"/>
        <w:contextualSpacing w:val="0"/>
        <w:jc w:val="both"/>
        <w:rPr>
          <w:rFonts w:ascii="Georgia" w:hAnsi="Georgia" w:cs="Arial"/>
          <w:b/>
          <w:i/>
          <w:sz w:val="24"/>
          <w:szCs w:val="24"/>
        </w:rPr>
      </w:pPr>
      <w:r w:rsidRPr="003A174E">
        <w:rPr>
          <w:rFonts w:ascii="Georgia" w:hAnsi="Georgia" w:cs="Arial"/>
          <w:b/>
          <w:i/>
          <w:sz w:val="24"/>
          <w:szCs w:val="24"/>
        </w:rPr>
        <w:t>Método</w:t>
      </w:r>
    </w:p>
    <w:p w:rsidR="00EC45FF" w:rsidRPr="003A174E" w:rsidRDefault="00EC45FF" w:rsidP="00EC45FF">
      <w:pPr>
        <w:ind w:left="325"/>
        <w:jc w:val="both"/>
        <w:rPr>
          <w:rFonts w:ascii="Georgia" w:hAnsi="Georgia"/>
          <w:i/>
          <w:sz w:val="24"/>
          <w:szCs w:val="24"/>
        </w:rPr>
      </w:pP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t xml:space="preserve">a) Elaboración y normalización de flujogramas para los diferentes procesos con el propósito de determinar sus rutinas; </w:t>
      </w: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t xml:space="preserve">b) Cuantificación de los materiales, suministros y los demás insumos tecnológicos y de recurso humano utilizados anualmente, en cada uno de los procesos y procedimientos definidos en el literal anterior.  Estos insumos deben incluir unos porcentajes de los gastos de administración general del ICA cuantificados siguiendo las normas y principios aceptados de contabilidad de costos; </w:t>
      </w: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t xml:space="preserve">c) Valoración a precios de mercado de los insumos descritos en el literal anterior para cada uno de los procesos y procedimientos, incluidos los relativos a transporte y almacenamiento. Cuando uno de los procedimientos deba contratarse con terceros, se tomará el valor del servicio contratado; </w:t>
      </w: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t xml:space="preserve">d) Valoración del recurso humano utilizado directamente en la prestación del servicio, tomando como base los salarios y prestaciones de la planta de personal del ICA, así como el valor de los contratos que se celebren para el efecto; </w:t>
      </w: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t xml:space="preserve">e) Cuantificación de los costos en función de los equipos, técnicas y tecnologías disponibles para la operación de los servicios; </w:t>
      </w:r>
    </w:p>
    <w:p w:rsidR="00EC45FF" w:rsidRPr="003A174E" w:rsidRDefault="00EC45FF" w:rsidP="00EC45FF">
      <w:pPr>
        <w:ind w:left="750"/>
        <w:jc w:val="both"/>
        <w:rPr>
          <w:rFonts w:ascii="Georgia" w:hAnsi="Georgia"/>
          <w:i/>
          <w:sz w:val="24"/>
          <w:szCs w:val="24"/>
        </w:rPr>
      </w:pPr>
      <w:r w:rsidRPr="003A174E">
        <w:rPr>
          <w:rFonts w:ascii="Georgia" w:hAnsi="Georgia"/>
          <w:i/>
          <w:sz w:val="24"/>
          <w:szCs w:val="24"/>
        </w:rPr>
        <w:lastRenderedPageBreak/>
        <w:t xml:space="preserve">f) Estimación de las frecuencias de utilización de los servicios. La frecuencia se entiende como el número de operaciones o ejecuciones de cada uno de los servicios prestados por el ICA. </w:t>
      </w:r>
    </w:p>
    <w:p w:rsidR="00EC45FF" w:rsidRPr="003A174E" w:rsidRDefault="00EC45FF" w:rsidP="00EC45FF">
      <w:pPr>
        <w:ind w:left="325"/>
        <w:jc w:val="both"/>
        <w:rPr>
          <w:rFonts w:ascii="Georgia" w:hAnsi="Georgia"/>
          <w:b/>
          <w:i/>
          <w:sz w:val="24"/>
          <w:szCs w:val="24"/>
        </w:rPr>
      </w:pPr>
    </w:p>
    <w:p w:rsidR="00EC45FF" w:rsidRPr="003A174E" w:rsidRDefault="00EC45FF" w:rsidP="00EC45FF">
      <w:pPr>
        <w:pStyle w:val="Prrafodelista"/>
        <w:numPr>
          <w:ilvl w:val="0"/>
          <w:numId w:val="16"/>
        </w:numPr>
        <w:spacing w:after="0" w:line="240" w:lineRule="auto"/>
        <w:ind w:left="1045"/>
        <w:contextualSpacing w:val="0"/>
        <w:jc w:val="both"/>
        <w:rPr>
          <w:rFonts w:ascii="Georgia" w:hAnsi="Georgia" w:cs="Arial"/>
          <w:b/>
          <w:i/>
          <w:sz w:val="24"/>
          <w:szCs w:val="24"/>
        </w:rPr>
      </w:pPr>
      <w:r w:rsidRPr="003A174E">
        <w:rPr>
          <w:rFonts w:ascii="Georgia" w:hAnsi="Georgia" w:cs="Arial"/>
          <w:b/>
          <w:i/>
          <w:sz w:val="24"/>
          <w:szCs w:val="24"/>
        </w:rPr>
        <w:t>Sistema de costos</w:t>
      </w:r>
    </w:p>
    <w:p w:rsidR="00EC45FF" w:rsidRPr="003A174E" w:rsidRDefault="00EC45FF" w:rsidP="00EC45FF">
      <w:pPr>
        <w:ind w:left="325"/>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El sistema para definir las tarifas es un sistema de costos estandarizables, en el que la valoración y ponderación de los factores que intervienen en su definición se realizará por medio de los procedimientos de costeo técnicamente aceptados.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La tarifa para cada uno de los servicios prestados por el Instituto Colombiano Agropecuario – ICA, será el resultado de sumar el valor de los insumos y de los recursos humanos utilizados, de conformidad con los literales c), d) y e) del artículo anterior de esta ley, divididos cada uno por la frecuencia de utilización de que trata el literal f) del mismo artículo.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w:t>
      </w:r>
      <w:r w:rsidRPr="003A174E">
        <w:rPr>
          <w:rFonts w:ascii="Georgia" w:hAnsi="Georgia"/>
          <w:i/>
          <w:sz w:val="24"/>
          <w:szCs w:val="24"/>
        </w:rPr>
        <w:t>. El Gobierno nacional podrá revisar periódicamente los criterios para la determinación de las tarifas considerando mejoras en eficiencia que puedan resultar en menores costos en la prestación de los servicios a cargo del ICA, así como utilizar ponderaciones regionales para la fijación de las tarifas.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168</w:t>
      </w:r>
      <w:r w:rsidRPr="003A174E">
        <w:rPr>
          <w:rFonts w:ascii="Georgia" w:hAnsi="Georgia"/>
          <w:b/>
          <w:i/>
          <w:sz w:val="24"/>
          <w:szCs w:val="24"/>
          <w:lang w:val="es-ES"/>
        </w:rPr>
        <w:t>º (</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xml:space="preserve">. PAGO, RECAUDO Y DESTINACIÓN ESPECÍFICA DE LOS RECURSOS. </w:t>
      </w:r>
      <w:r w:rsidRPr="003A174E">
        <w:rPr>
          <w:rFonts w:ascii="Georgia" w:hAnsi="Georgia"/>
          <w:i/>
          <w:sz w:val="24"/>
          <w:szCs w:val="24"/>
        </w:rPr>
        <w:t>El sujeto pasivo o usuario deberá acreditar el pago de la tarifa correspondiente al momento de solicitar el servicio al Instituto Colombiano Agropecuario - ICA.</w:t>
      </w:r>
    </w:p>
    <w:p w:rsidR="00EC45FF" w:rsidRPr="003A174E" w:rsidRDefault="00EC45FF" w:rsidP="00EC45FF">
      <w:pPr>
        <w:pStyle w:val="Prrafodelista"/>
        <w:spacing w:after="0" w:line="240" w:lineRule="auto"/>
        <w:jc w:val="both"/>
        <w:rPr>
          <w:rFonts w:ascii="Georgia" w:hAnsi="Georgia" w:cs="Arial"/>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El recaudo de las tarifas de que trata la presente ley estará a cargo del Instituto Colombiano Agropecuario – ICA, y </w:t>
      </w:r>
      <w:r w:rsidRPr="003A174E">
        <w:rPr>
          <w:rFonts w:ascii="Georgia" w:hAnsi="Georgia"/>
          <w:bCs/>
          <w:i/>
          <w:sz w:val="24"/>
          <w:szCs w:val="24"/>
        </w:rPr>
        <w:t xml:space="preserve">tendrá una destinación específica encaminada a la </w:t>
      </w:r>
      <w:r w:rsidRPr="003A174E">
        <w:rPr>
          <w:rFonts w:ascii="Georgia" w:hAnsi="Georgia"/>
          <w:i/>
          <w:sz w:val="24"/>
          <w:szCs w:val="24"/>
        </w:rPr>
        <w:t xml:space="preserve">prevención, control y la erradicación de enfermedades y plagas en animales y vegetales y la inocuidad en la producción primaria. </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bCs/>
          <w:i/>
          <w:sz w:val="24"/>
          <w:szCs w:val="24"/>
        </w:rPr>
      </w:pPr>
      <w:r w:rsidRPr="003A174E">
        <w:rPr>
          <w:rFonts w:ascii="Georgia" w:hAnsi="Georgia"/>
          <w:b/>
          <w:i/>
          <w:sz w:val="24"/>
          <w:szCs w:val="24"/>
        </w:rPr>
        <w:t>PARÁGRAFO.</w:t>
      </w:r>
      <w:r w:rsidRPr="003A174E">
        <w:rPr>
          <w:rFonts w:ascii="Georgia" w:hAnsi="Georgia"/>
          <w:i/>
          <w:sz w:val="24"/>
          <w:szCs w:val="24"/>
        </w:rPr>
        <w:t xml:space="preserve"> Los recursos serán incorporados en el presupuesto del ICA de confo</w:t>
      </w:r>
      <w:r w:rsidRPr="003A174E">
        <w:rPr>
          <w:rFonts w:ascii="Georgia" w:hAnsi="Georgia"/>
          <w:bCs/>
          <w:i/>
          <w:sz w:val="24"/>
          <w:szCs w:val="24"/>
        </w:rPr>
        <w:t>rmidad con lo previsto en la Ley Orgánica de Presupuesto y se destinarán a</w:t>
      </w:r>
      <w:r w:rsidRPr="003A174E">
        <w:rPr>
          <w:rFonts w:ascii="Georgia" w:hAnsi="Georgia"/>
          <w:i/>
          <w:sz w:val="24"/>
          <w:szCs w:val="24"/>
        </w:rPr>
        <w:t xml:space="preserve"> financiar los programas de prevención, control y erradicación</w:t>
      </w:r>
      <w:r w:rsidRPr="003A174E">
        <w:rPr>
          <w:rFonts w:ascii="Georgia" w:hAnsi="Georgia"/>
          <w:bCs/>
          <w:i/>
          <w:sz w:val="24"/>
          <w:szCs w:val="24"/>
        </w:rPr>
        <w:t>.</w:t>
      </w:r>
    </w:p>
    <w:p w:rsidR="00EC45FF" w:rsidRPr="003A174E" w:rsidRDefault="00EC45FF" w:rsidP="00EC45FF">
      <w:pPr>
        <w:spacing w:afterLines="20" w:after="48" w:line="240" w:lineRule="auto"/>
        <w:jc w:val="both"/>
        <w:rPr>
          <w:rFonts w:ascii="Georgia" w:hAnsi="Georgia"/>
          <w:bCs/>
          <w:i/>
          <w:sz w:val="24"/>
          <w:szCs w:val="24"/>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SECCIÓN II.</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PACTO POR EL EMPRENDIMIENTO, LA FORMALIZACIÓN Y LA PRODUCTIVIDAD: UNA ECONOMÍA DINÁMICA, INCLUYENTE Y SOSTENIBLE QUE POTENCIE TODOS NUESTROS TALENTOS</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169</w:t>
      </w:r>
      <w:r w:rsidRPr="003A174E">
        <w:rPr>
          <w:rFonts w:ascii="Georgia" w:hAnsi="Georgia"/>
          <w:b/>
          <w:bCs/>
          <w:i/>
          <w:sz w:val="24"/>
          <w:szCs w:val="24"/>
          <w:lang w:val="es-CO"/>
        </w:rPr>
        <w:t xml:space="preserve">º. EMISIONES PARA PEQUEÑAS Y MEDIANAS EMPRESAS. </w:t>
      </w:r>
      <w:r w:rsidRPr="003A174E">
        <w:rPr>
          <w:rFonts w:ascii="Georgia" w:hAnsi="Georgia"/>
          <w:i/>
          <w:sz w:val="24"/>
          <w:szCs w:val="24"/>
          <w:lang w:val="es-CO"/>
        </w:rPr>
        <w:t xml:space="preserve">El Gobierno nacional creará un modelo de emisiones de acciones o de instrumentos de crédito, de hasta 584.000 unidades de valor tributario - UVT </w:t>
      </w:r>
      <w:r w:rsidRPr="003A174E">
        <w:rPr>
          <w:rFonts w:ascii="Georgia" w:hAnsi="Georgia"/>
          <w:i/>
          <w:sz w:val="24"/>
          <w:szCs w:val="24"/>
          <w:lang w:val="es-CO"/>
        </w:rPr>
        <w:lastRenderedPageBreak/>
        <w:t>por cada emisor, para pequeñas y medianas empresas, en el cual se establecerán condiciones que faciliten su proceso de emisión. Así mismo, serán negociados a través de un sistema autorizado por la Superintendencia Financiera de Colombia, al cual concurrirán inversionistas y emisores, para efectuar operaciones primarias y secundarias de compra y venta. El Gobierno nacional reglamentará la materia.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170</w:t>
      </w:r>
      <w:r w:rsidRPr="003A174E">
        <w:rPr>
          <w:rFonts w:ascii="Georgia" w:hAnsi="Georgia"/>
          <w:b/>
          <w:i/>
          <w:sz w:val="24"/>
          <w:szCs w:val="24"/>
          <w:lang w:val="es-CO"/>
        </w:rPr>
        <w:t>°. COLOMBIA  PRODUCTIVA.</w:t>
      </w:r>
      <w:r w:rsidRPr="003A174E">
        <w:rPr>
          <w:rFonts w:ascii="Georgia" w:hAnsi="Georgia"/>
          <w:i/>
          <w:sz w:val="24"/>
          <w:szCs w:val="24"/>
          <w:lang w:val="es-CO"/>
        </w:rPr>
        <w:t xml:space="preserve"> Modifíquese el artículo 50 de la Ley 1450 de 2011, modificado por el artículo 11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50. COLOMBIA PRODUCTIVA. El Programa de Transformación Productiva, que en adelante se llamará Colombia Productiva, será el encargado de promover la productividad, la competitividad y los encadenamientos productivos para fortalecer cadenas de valor sostenibles; implementar estrategias público-privadas que permitan el aprovechamiento de ventajas comparativas y competitivas para afrontar los retos del mercado global; y, fortalecer las capacidades empresariales, la sofisticación, la calidad y el valor agregado de los productos y servicios, de acuerdo a la política que defina el Ministerio de Comercio, Industria y Turismo.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integrarán el patrimonio autónomo son los siguientes: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Recursos provenientes del Presupuesto General de la Nación.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Recursos aportados por las entidades nacionales, internacionales, territoriales o por particulares a través de convenios o transferencias.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Donaciones.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Recursos de cooperación nacional o internacional.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Rendimientos financieros generados por los recursos entregados, los cuales se reinvertirán de pleno derecho en el Patrimonio Autónomo.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Los dividendos que sean decretados en favor de la Nación por la Asamblea General de Accionistas del  Banco de Comercio Exterior (Bancóldex).</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Los demás recursos que obtenga o se le asignen a cualquier título.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Este programa será un patrimonio autónomo con régimen privado y será administrado directamente por el Banco de Comercio Exterior (Bancóldex), sus filiales o por la entidad que defina el Ministerio de Comercio, Industria y Turismo.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Todas las referencias que se hayan hecho o que se hagan al Programa de Transformación Productiva deben entenderse referidas a Colombia Productiva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171</w:t>
      </w:r>
      <w:r w:rsidRPr="003A174E">
        <w:rPr>
          <w:rFonts w:ascii="Georgia" w:hAnsi="Georgia"/>
          <w:b/>
          <w:i/>
          <w:sz w:val="24"/>
          <w:szCs w:val="24"/>
          <w:lang w:val="es-CO"/>
        </w:rPr>
        <w:t xml:space="preserve">º. LÍNEAS DE CRÉDITO PARA INVERSIÓN EN ACTIVIDADES DE CIENCIA, TECNOLOGÍA E INNOVACIÓN. </w:t>
      </w:r>
      <w:r w:rsidRPr="003A174E">
        <w:rPr>
          <w:rFonts w:ascii="Georgia" w:hAnsi="Georgia"/>
          <w:i/>
          <w:sz w:val="24"/>
          <w:szCs w:val="24"/>
          <w:lang w:val="es-CO"/>
        </w:rPr>
        <w:t xml:space="preserve">Podrán destinarse recursos públicos que pertenezcan a fondos de Ciencia, Tecnología e Innovación para apalancar inversión privada en actividades de Ciencia, </w:t>
      </w:r>
      <w:r w:rsidRPr="003A174E">
        <w:rPr>
          <w:rFonts w:ascii="Georgia" w:hAnsi="Georgia"/>
          <w:i/>
          <w:sz w:val="24"/>
          <w:szCs w:val="24"/>
          <w:lang w:val="es-CO"/>
        </w:rPr>
        <w:lastRenderedPageBreak/>
        <w:t>Tecnología e Innovación, haciendo uso de líneas de crédito a través entidades financieras de segundo piso.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Como apoyo a estas entidades se crearán centros de dinamización financiera que direccionen e incentiven a las empresas para acceder y obtener los recursos públicos existentes para fines de ciencia, tecnología e innovación.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172</w:t>
      </w:r>
      <w:r w:rsidRPr="003A174E">
        <w:rPr>
          <w:rFonts w:ascii="Georgia" w:hAnsi="Georgia"/>
          <w:b/>
          <w:i/>
          <w:sz w:val="24"/>
          <w:szCs w:val="24"/>
          <w:lang w:val="es-CO"/>
        </w:rPr>
        <w:t xml:space="preserve">º. CONSTITUCIÓN DE EMPRESAS DE DESARROLLOS TECNOLÓGICOS INNOVADORES. </w:t>
      </w:r>
      <w:r w:rsidRPr="003A174E">
        <w:rPr>
          <w:rFonts w:ascii="Georgia" w:hAnsi="Georgia"/>
          <w:i/>
          <w:sz w:val="24"/>
          <w:szCs w:val="24"/>
          <w:lang w:val="es-CO"/>
        </w:rPr>
        <w:t>Quienes se propongan implementar desarrollos tecnológicos innovadores para realizar actividades propias de las entidades vigiladas por la Superintendencia Financiera, podrán constituir una de estas entidades y obtener un certificado para operar temporalmente, de acuerdo con las condiciones, requisitos y requerimientos prudenciales, incluyendo la determinación o aplicación de capitales mínimos, de acuerdo con la reglamentación que para el efecto expida el Gobierno nacional. Dicho certificado de operación temporal no excederá de dos (2) años y podrá ser revocado en cualquier momento por la Superintendencia Financiera.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Superintendencia Financiera autorizará la constitución de estas entidades y otorgará el respectivo certificado de funcionamiento, conforme al procedimiento que se establezca para el efecto. En desarrollo de esta disposición, el Gobierno nacional podrá determinar los montos mínimos de capital que deberán acreditarse para solicitar la constitución de las entidades sometidas al control y vigilancia de la Superintendencia Financiera de Colombia, el cual podrá estar diferenciado en función de las operaciones autorizadas por la Superintendencia Financiera de Colombia, en los términos del numeral 2 del artículo 53 del Estatuto Orgánico del Sistema Financiero.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Con sujeción a las condiciones, requisitos y requerimientos prudenciales que establezca la reglamentación a la que se refiere el presente artículo, las entidades vigiladas por la Superintendencia Financiera de Colombia podrán implementar desarrollos tecnológicos innovadores para probar temporalmente nuevos productos o servicios, bajo la supervisión de dicha Superintendencia, por el término indicado en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El Gobierno nacional a través de la Comisión Intersectorial para la Inclusión Financiera articulará las medidas y políticas tendientes a desarrollar mecanismos de financiación para empresas y emprendedores, con el propósito de evitar duplicidad y que se diseñen instrumentos adecuados para las diferentes etapas de desarrollo empresarial.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173</w:t>
      </w:r>
      <w:r w:rsidRPr="003A174E">
        <w:rPr>
          <w:rFonts w:ascii="Georgia" w:hAnsi="Georgia"/>
          <w:b/>
          <w:bCs/>
          <w:i/>
          <w:sz w:val="24"/>
          <w:szCs w:val="24"/>
          <w:lang w:val="es-CO"/>
        </w:rPr>
        <w:t>°. BIENES INTANGIBLES O DERECHOS DE PROPIEDAD INTELECTUAL DE LAS ENTIDADES PÚBLICAS.</w:t>
      </w:r>
      <w:r w:rsidRPr="003A174E">
        <w:rPr>
          <w:rFonts w:ascii="Georgia" w:hAnsi="Georgia"/>
          <w:i/>
          <w:sz w:val="24"/>
          <w:szCs w:val="24"/>
          <w:lang w:val="es-CO"/>
        </w:rPr>
        <w:t xml:space="preserve"> La entidad pública que sea titular de bienes intangibles y derechos de propiedad intelectual podrá negociar su explotación comercial.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beneficios o regalías que se generen de la explotación comercial del bien intangible o derecho de propiedad intelectual de titularidad de la entidad pública, deberán ser destinados para el apoyo e inversión a los programas, proyectos, actividades e iniciativas de ciencia, tecnología e innovación de la entidad pública. Para lo anterior, la entidad pública podrá suscribir convenios de ejecución con fondos o fiducias que garanticen dicha destinación.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aquellas entidades públicas que no desarrollen o ejecuten programas, proyectos, actividades e iniciativas de ciencia, tecnología e innovación, los beneficios o regalías que genere la explotación comercial de sus bienes intangibles o propiedad intelectual, deberá ser destinada a la promoción de industrias creativas de conformidad con el artículo 2 de la Ley 1834 de 2017.</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174</w:t>
      </w:r>
      <w:r w:rsidRPr="003A174E">
        <w:rPr>
          <w:rFonts w:ascii="Georgia" w:hAnsi="Georgia"/>
          <w:b/>
          <w:i/>
          <w:sz w:val="24"/>
          <w:szCs w:val="24"/>
          <w:lang w:val="es-CO"/>
        </w:rPr>
        <w:t>°. CRÉDITO FISCAL PARA INVERSIONES EN PROYECTOS DE INVESTIGACIÓN, DESARROLLO TECNOLÓGICO E INNOVACIÓN O VINCULACIÓN DE CAPITAL HUMANO DE ALTO NIVEL.</w:t>
      </w:r>
      <w:r w:rsidRPr="003A174E">
        <w:rPr>
          <w:rFonts w:ascii="Georgia" w:hAnsi="Georgia"/>
          <w:i/>
          <w:sz w:val="24"/>
          <w:szCs w:val="24"/>
          <w:lang w:val="es-CO"/>
        </w:rPr>
        <w:t xml:space="preserve"> Adiciónese al Libro Primero, Título I, Capítulo X del Estatuto Tributario el artículo 256-1,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256-1. CRÉDITO FISCAL PARA INVERSIONES EN PROYECTOS DE INVESTIGACIÓN, DESARROLLO TECNOLÓGICO E INNOVACIÓN O VINCULACIÓN DE CAPITAL HUMANO DE ALTO NIVEL</w:t>
      </w:r>
      <w:r w:rsidRPr="003A174E">
        <w:rPr>
          <w:rFonts w:ascii="Georgia" w:hAnsi="Georgia"/>
          <w:b/>
          <w:i/>
          <w:sz w:val="24"/>
          <w:szCs w:val="24"/>
          <w:lang w:val="es-CO"/>
        </w:rPr>
        <w:t>.</w:t>
      </w:r>
      <w:r w:rsidRPr="003A174E">
        <w:rPr>
          <w:rFonts w:ascii="Georgia" w:hAnsi="Georgia"/>
          <w:i/>
          <w:sz w:val="24"/>
          <w:szCs w:val="24"/>
          <w:lang w:val="es-CO"/>
        </w:rPr>
        <w:t xml:space="preserve"> Las inversiones que realicen las Micro, Pequeñas y Medianas empresas en proyectos calificados como de Investigación, Desarrollo Tecnológico e Innovación, de acuerdo con los criterios y condiciones definidas por el Consejo Nacional de Beneficios Tributarios en Ciencia, Tecnología e Innovación - CNBT, podrán acceder a un crédito fiscal por un valor del 50% de la inversión realizada y certificada por el CNBT aplicable para la compensación de impuestos nacionales. El crédito fiscal aquí establecido no generará saldo a favor susceptible de devolución, excepto únicamente respecto de lo previsto en los parágrafos 3 y 4 del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Igual tratamiento será aplicable a la remuneración correspondiente a la vinculación de personal con título de doctorado en las Mipymes, que se realice con posterioridad a la expedición de la presente ley, siempre y cuando se cumplan con los criterios y condiciones definidos por el CNBT para tal fin y su vinculación esté asociada al desarrollo de actividades de I+D+i. El crédito fiscal corresponde al 50% de la remuneración efectivamente pagada durante la vigencia fiscal y deberá solicitarse cada año una vez demostrada la vinculación del personal con título de doctorado. Para el caso de títulos de doctorado obtenidos en el exterior, se deberán cumplir los requisitos de convalidación previstos en la normatividad vigente, de manera previa a su vinculación.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1. </w:t>
      </w:r>
      <w:r w:rsidRPr="003A174E">
        <w:rPr>
          <w:rFonts w:ascii="Georgia" w:hAnsi="Georgia"/>
          <w:i/>
          <w:sz w:val="24"/>
          <w:szCs w:val="24"/>
          <w:lang w:val="es-CO"/>
        </w:rPr>
        <w:t xml:space="preserve">Los proyectos presentados y calificados bajo la modalidad de crédito fiscal no podrán acceder a la deducción y descuento definido en el artículo </w:t>
      </w:r>
      <w:r w:rsidRPr="003A174E">
        <w:rPr>
          <w:rFonts w:ascii="Georgia" w:hAnsi="Georgia"/>
          <w:i/>
          <w:sz w:val="24"/>
          <w:szCs w:val="24"/>
          <w:lang w:val="es-CO"/>
        </w:rPr>
        <w:lastRenderedPageBreak/>
        <w:t>158-1 y 256 del Estatuto Tributario, respectivamente. Igual tratamiento aplica para la remuneración derivada de la vinculación del nuevo personal con título de doctorado.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El CNBT definirá el cupo máximo de inversiones que podrá certificar bajo esta modalidad, el cuál hará parte del cupo establecido en el parágrafo 1 del artículo 158-1 del Estatuto Tributario.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3. </w:t>
      </w:r>
      <w:r w:rsidRPr="003A174E">
        <w:rPr>
          <w:rFonts w:ascii="Georgia" w:hAnsi="Georgia"/>
          <w:i/>
          <w:sz w:val="24"/>
          <w:szCs w:val="24"/>
          <w:lang w:val="es-CO"/>
        </w:rPr>
        <w:t>Las micro, pequeñas y medianas empresas que cuenten con créditos fiscales vigentes superiores a mil UVT (1000 UVT) por inversiones en proyectos calificados como de Investigación, Desarrollo Tecnológico e Innovación, de acuerdo con los criterios y condiciones definidas por el Consejo Nacional de Beneficios Tributarios en Ciencia, Tecnología e Innovación - CNBT, podrán solicitar Títulos de Devolución de Impuestos - TIDIS por el valor del crédito fiscal.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4. </w:t>
      </w:r>
      <w:r w:rsidRPr="003A174E">
        <w:rPr>
          <w:rFonts w:ascii="Georgia" w:hAnsi="Georgia"/>
          <w:i/>
          <w:sz w:val="24"/>
          <w:szCs w:val="24"/>
          <w:lang w:val="es-CO"/>
        </w:rPr>
        <w:t>La remuneración pagada por la vinculación de personal con título de doctorado en las Mipymes podrá ser solicitada como TIDIS (Títulos de Devolución de Impuestos) siempre y cuando se cumplan con los criterios y condiciones definidos por el Consejo Nacional de Beneficios Tributarios y cuenten con un crédito fiscal vigente superior a los 1000 UVT.</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5. </w:t>
      </w:r>
      <w:r w:rsidRPr="003A174E">
        <w:rPr>
          <w:rFonts w:ascii="Georgia" w:hAnsi="Georgia"/>
          <w:i/>
          <w:sz w:val="24"/>
          <w:szCs w:val="24"/>
          <w:lang w:val="es-CO"/>
        </w:rPr>
        <w:t>Los créditos fiscales tendrán una vigencia de dos años una vez expedido el respectivo certificado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175</w:t>
      </w:r>
      <w:r w:rsidRPr="003A174E">
        <w:rPr>
          <w:rFonts w:ascii="Georgia" w:hAnsi="Georgia"/>
          <w:b/>
          <w:i/>
          <w:sz w:val="24"/>
          <w:szCs w:val="24"/>
          <w:lang w:val="es-CO"/>
        </w:rPr>
        <w:t>°. DERECHOS DE PROPIEDAD INTELECTUAL SOBRE RESULTADOS DE PROGRAMAS Y PROYECTOS DE CIENCIA, TECNOLOGÍA E INNOVACIÓN Y DE TECNOLOGÍAS DE LA INFORMACIÓN Y LAS COMUNICACIONES FINANCIADOS CON RECURSOS PÚBLICOS.</w:t>
      </w:r>
      <w:r w:rsidRPr="003A174E">
        <w:rPr>
          <w:rFonts w:ascii="Georgia" w:hAnsi="Georgia"/>
          <w:i/>
          <w:sz w:val="24"/>
          <w:szCs w:val="24"/>
          <w:lang w:val="es-CO"/>
        </w:rPr>
        <w:t xml:space="preserve"> 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todo caso, el Estado, a través de la entidad financiadora, se reserva el derecho de obtener una licencia no exclusiva y gratuita de estos derechos de propiedad intelectual por motivos de interés público. Así mismo, en caso de presentarse motivos de seguridad y defensa nacional, el titular de los derechos de propiedad intelectual deberá ceder a título gratuito y sin limitación alguna al Estado, los derechos de propiedad intelectual que le correspondan. Los derechos de propiedad intelectual a ceder, así como sus condiciones de uso, serán fijadas en el respectivo contrato o convenio.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176</w:t>
      </w:r>
      <w:r w:rsidRPr="003A174E">
        <w:rPr>
          <w:rFonts w:ascii="Georgia" w:hAnsi="Georgia"/>
          <w:b/>
          <w:i/>
          <w:sz w:val="24"/>
          <w:szCs w:val="24"/>
          <w:lang w:val="es-CO"/>
        </w:rPr>
        <w:t>°. DEDUCCIÓN POR DONACIONES E INVERSIONES EN INVESTIGACIÓN, DESARROLLO TECNOLÓGICO E INNOVACIÓN.</w:t>
      </w:r>
      <w:r w:rsidRPr="003A174E">
        <w:rPr>
          <w:rFonts w:ascii="Georgia" w:hAnsi="Georgia"/>
          <w:i/>
          <w:sz w:val="24"/>
          <w:szCs w:val="24"/>
          <w:lang w:val="es-CO"/>
        </w:rPr>
        <w:t xml:space="preserve"> Modifíquese el artículo 158-1 del Estatuto Tributario, modificado por el artículo 91 de la Ley 1819 de 2016,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158-1. DEDUCCIÓN POR DONACIONES E INVERSIONES EN INVESTIGACIÓN, DESARROLLO TECNOLÓGICO E INNOVACIÓN. Las inversiones que se realicen en investigación, desarrollo tecnológico e innovación, de acuerdo con los criterios y las condiciones señaladas por el Consejo Nacional de Beneficios Tributarios en Ciencia, Tecnología e Innovación - CNBT, serán deducibles en el período gravable en que se realicen. Lo anterior, no excluye la aplicación del descuento de que trata el artículo 256 del Estatuto Tributario cuando se cumplan las condiciones y requisitos allí previstos.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mismo tratamiento previsto en este artículo será aplicable en los siguientes casos: i) a las donaciones que se realicen por intermedio de las Instituciones de Educación Superior o del Instituto Colombiano de Crédito Educativo y Estudios Técnicos en el Exterior -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hace referencia el presente artículo, ii) 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 CNBT, y iii) 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w:t>
      </w:r>
      <w:r w:rsidRPr="003A174E">
        <w:rPr>
          <w:rFonts w:ascii="Georgia" w:hAnsi="Georgia"/>
          <w:i/>
          <w:sz w:val="24"/>
          <w:szCs w:val="24"/>
          <w:lang w:val="es-CO"/>
        </w:rPr>
        <w:lastRenderedPageBreak/>
        <w:t>de I+D+i. Para el caso de títulos de Doctorado obtenidos en el exterior, se deberán cumplir los requisitos de convalidación previstos en la normatividad vigente, de manera previa a su vinculación.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xml:space="preserve"> El Consejo Nacional de Beneficios Tributarios en Ciencia, Tecnología e Innovación - CNBT definirá anualmente un monto máximo total de la deducción prevista en el presente artículo y del descuento establecido en el artículo 256 del Estatuto Tributario y del crédito fiscal por inversiones en CTeI, así como el monto máximo anual que individualmente pueden solicitar las empresas como deducción y descuento por inversiones o donaciones de que trata el Parágrafo 3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 Pymes.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Los costos y gastos que dan lugar a la deducción de que trata este artículo y al descuento del artículo 256 del Estatuto Tributario, no podrán ser capitalizados ni tomados como costo o deducción nuevamente por el mismo contribuyente.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3</w:t>
      </w:r>
      <w:r w:rsidRPr="003A174E">
        <w:rPr>
          <w:rFonts w:ascii="Georgia" w:hAnsi="Georgia"/>
          <w:i/>
          <w:sz w:val="24"/>
          <w:szCs w:val="24"/>
          <w:lang w:val="es-CO"/>
        </w:rPr>
        <w:t>.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que trata este Parágrafo, no se someten a lo previsto en el artículo 256 del Estatuto Tributario.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La deducción prevista por la remuneración de personal con título de doctorado se causará cuando dicho personal no esté vinculado a los proyectos a los que hace mención el presente artículo en su primer inciso.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177</w:t>
      </w:r>
      <w:r w:rsidRPr="003A174E">
        <w:rPr>
          <w:rFonts w:ascii="Georgia" w:hAnsi="Georgia"/>
          <w:b/>
          <w:i/>
          <w:sz w:val="24"/>
          <w:szCs w:val="24"/>
          <w:lang w:val="es-CO"/>
        </w:rPr>
        <w:t xml:space="preserve">°. DESCUENTO PARA INVERSIONES Y DONACIONES REALIZADAS EN INVESTIGACIÓN, DESARROLLO TECNOLÓGICO O </w:t>
      </w:r>
      <w:r w:rsidRPr="003A174E">
        <w:rPr>
          <w:rFonts w:ascii="Georgia" w:hAnsi="Georgia"/>
          <w:b/>
          <w:i/>
          <w:sz w:val="24"/>
          <w:szCs w:val="24"/>
          <w:lang w:val="es-CO"/>
        </w:rPr>
        <w:lastRenderedPageBreak/>
        <w:t xml:space="preserve">INNOVACIÓN. </w:t>
      </w:r>
      <w:r w:rsidRPr="003A174E">
        <w:rPr>
          <w:rFonts w:ascii="Georgia" w:hAnsi="Georgia"/>
          <w:i/>
          <w:sz w:val="24"/>
          <w:szCs w:val="24"/>
          <w:lang w:val="es-CO"/>
        </w:rPr>
        <w:t>Modifíquese el artículo 256 del Estatuto Tributario, modificado por el artículo 104 de la Ley 1819 de 2016,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256. DESCUENTO PARA INVERSIONES REALIZADAS EN INVESTIGACIÓN, DESARROLLO TECNOLÓGICO O INNOVACIÓN. Las personas 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 período gravable en que se realizó la inversión. Las inversiones de que trata 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xml:space="preserve"> Para que proceda el descuento de que trata el presente artículo, al calificar el proyecto se deberá tener en cuenta criterios de impacto ambiental.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2. </w:t>
      </w:r>
      <w:r w:rsidRPr="003A174E">
        <w:rPr>
          <w:rFonts w:ascii="Georgia" w:hAnsi="Georgia"/>
          <w:i/>
          <w:sz w:val="24"/>
          <w:szCs w:val="24"/>
          <w:lang w:val="es-CO"/>
        </w:rPr>
        <w:t>El mismo tratamiento previsto en este artículo será aplicable en los siguientes casos: i) a las donaciones hechas a programas creados por las instituciones de educación superior, o del Instituto Colombiano de Crédito Educativo y Estudios Técnicos en el Exterior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de acuerdo a la reglamentación expedida por el Gobierno Nacional respecto de las condiciones de asignación y funcionamiento de los programas de becas y créditos condonables a los que se refiere el presente artículo. ii) 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 Tecnología e Innovación (CNBT), y iii) a la remuneración correspondiente a la vinculación de personal con título de doctorado en las empresas contribuyentes de renta, que se realice con posterioridad a la expedición de la presente ley, siempre y cuando se cumplan con los criterios y condiciones definidos por el CNBT para tal fin y su vinculación esté asociada al desarrollo de actividades de I+D+i. Para el caso de títulos de Doctorado obtenidos en el exterior, se deberán cumplir los requisitos de convalidación previstos en la normatividad vigente, de manera previa a su vinculación.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3.</w:t>
      </w:r>
      <w:r w:rsidRPr="003A174E">
        <w:rPr>
          <w:rFonts w:ascii="Georgia" w:hAnsi="Georgia"/>
          <w:i/>
          <w:sz w:val="24"/>
          <w:szCs w:val="24"/>
          <w:lang w:val="es-CO"/>
        </w:rPr>
        <w:t xml:space="preserve"> El descuento previsto por la remuneración de personal con título de doctorado se causará cuando dicho personal no esté vinculado a los proyectos a los que hace mención el presente artículo en su primer inciso.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El descuento aquí previsto se somete a lo establecido en los parágrafos 1 y 2 del artículo 158-1 del Estatuto Tributario.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178</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w:t>
      </w:r>
      <w:r w:rsidRPr="003A174E">
        <w:rPr>
          <w:rFonts w:ascii="Georgia" w:hAnsi="Georgia"/>
          <w:i/>
          <w:sz w:val="24"/>
          <w:szCs w:val="24"/>
        </w:rPr>
        <w:t xml:space="preserve"> </w:t>
      </w:r>
      <w:r w:rsidRPr="003A174E">
        <w:rPr>
          <w:rFonts w:ascii="Georgia" w:hAnsi="Georgia"/>
          <w:b/>
          <w:i/>
          <w:sz w:val="24"/>
          <w:szCs w:val="24"/>
        </w:rPr>
        <w:t xml:space="preserve">SISTEMA NACIONAL DE COMPETITIVIDAD E INNOVACIÓN – SNCI. </w:t>
      </w:r>
      <w:r w:rsidRPr="003A174E">
        <w:rPr>
          <w:rFonts w:ascii="Georgia" w:hAnsi="Georgia"/>
          <w:i/>
          <w:sz w:val="24"/>
          <w:szCs w:val="24"/>
        </w:rPr>
        <w:t>Créese el Sistema Nacional de Competitividad e Innovación – SNCI con el objetivo de fortalecer la competitividad , en el marco de este sistema y a través de la Comisión Nacional de Competitividad e Innovación, se articularán los siguientes sistemas: el Sistema Nacional de Ciencia, Tecnología e Innovación – SNCTI; el Sistema Nacional de Innovación Agropecuaria – SNIA; la Comisión  Intersectorial de Propiedad Intelectual – CIPI; el Consejo Nacional de Economía Naranja – CNEN; el Sistema Nacional Ambiental – SINA y los demás sistemas, órganos e instancias relacionadas con competitividad , productividad e innovación, y coordinar la elaboración, implementación y seguimiento de la agenda Nacional de Competitividad e Innovación.</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Las distintas instancias regionales, departamentales y territoriales de los sistemas que coordinan en la Comisión Nacional de Competitividad e Innovación se articularán en las Comisiones Regionales de Competitividad e Innovación con el objetivo de fortalecer la competitividad.</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Las comisiones Regionales de Competitividad e Innovación promoverán la implementación de la Agenda Departamental de Competitividad e Innovación, la cual se articulará con la Agenda Nacional en el marco del Sistema Nacional de Competitividad e Innovación.</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PARÁGRAFO PRIMERO.</w:t>
      </w:r>
      <w:r w:rsidRPr="003A174E">
        <w:rPr>
          <w:rFonts w:ascii="Georgia" w:hAnsi="Georgia"/>
          <w:i/>
          <w:sz w:val="24"/>
          <w:szCs w:val="24"/>
        </w:rPr>
        <w:t xml:space="preserve"> La coordinación general y secretaria técnica de la Comisión Nacional de Competitividad e Innovación estará a cargo del Departamento Administrativo de la Presidencia de la Republica.</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PARÁGRAFO SEGUNDO</w:t>
      </w:r>
      <w:r w:rsidRPr="003A174E">
        <w:rPr>
          <w:rFonts w:ascii="Georgia" w:hAnsi="Georgia"/>
          <w:i/>
          <w:sz w:val="24"/>
          <w:szCs w:val="24"/>
        </w:rPr>
        <w:t>. El Gobierno nacional reglamentará la organización, articulación y funcionamiento del Sistema Nacional de Competitividad e Innovación.</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179</w:t>
      </w:r>
      <w:r w:rsidRPr="003A174E">
        <w:rPr>
          <w:rFonts w:ascii="Georgia" w:hAnsi="Georgia"/>
          <w:b/>
          <w:i/>
          <w:sz w:val="24"/>
          <w:szCs w:val="24"/>
          <w:lang w:val="es-CO"/>
        </w:rPr>
        <w:t>°. INNOVACIÓN E IMPLEMENTACIÓN DE NUEVAS TECNOLOGÍAS EN PROYECTOS DE INFRAESTRUCTURA DE TRANSPORTE.</w:t>
      </w:r>
      <w:r w:rsidRPr="003A174E">
        <w:rPr>
          <w:rFonts w:ascii="Georgia" w:hAnsi="Georgia"/>
          <w:i/>
          <w:sz w:val="24"/>
          <w:szCs w:val="24"/>
          <w:lang w:val="es-CO"/>
        </w:rPr>
        <w:t xml:space="preserve"> Para la promoción del emprendimiento, investigación y desarrollo de nuevas tecnologías e innovación en la infraestructura de transporte, el INVIAS podrá incentivar la promoción del uso de nuevas tecnologías, mediante la cofinanciación de ejecución de tramos de prueba, con cargo a los presupuestos </w:t>
      </w:r>
      <w:r w:rsidRPr="003A174E">
        <w:rPr>
          <w:rFonts w:ascii="Georgia" w:hAnsi="Georgia"/>
          <w:i/>
          <w:sz w:val="24"/>
          <w:szCs w:val="24"/>
          <w:lang w:val="es-CO"/>
        </w:rPr>
        <w:lastRenderedPageBreak/>
        <w:t xml:space="preserve">de los respectivos proyectos de infraestructura en desarrollo de los respectivos contratos.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 regulación técnica para la implementación, estandarización, seguimiento, metodologías y protocolos de nuevas tecnologías para la intervención de la infraestructura de transporte, se definirá por el INVIAS.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r>
        <w:rPr>
          <w:rFonts w:ascii="Georgia" w:hAnsi="Georgia"/>
          <w:b/>
          <w:i/>
          <w:sz w:val="24"/>
          <w:szCs w:val="24"/>
          <w:lang w:val="es-CO"/>
        </w:rPr>
        <w:t>ARTÍCULO 180</w:t>
      </w:r>
      <w:r w:rsidRPr="003A174E">
        <w:rPr>
          <w:rFonts w:ascii="Georgia" w:hAnsi="Georgia"/>
          <w:b/>
          <w:i/>
          <w:sz w:val="24"/>
          <w:szCs w:val="24"/>
          <w:lang w:val="es-CO"/>
        </w:rPr>
        <w:t xml:space="preserve">º. INCENTIVOS A LA GENERACIÓN DE ENERGÍA ELÉCTRICA CON FUENTES NO CONVENCIONALES - FNCE. </w:t>
      </w:r>
      <w:r w:rsidRPr="003A174E">
        <w:rPr>
          <w:rFonts w:ascii="Georgia" w:hAnsi="Georgia"/>
          <w:i/>
          <w:sz w:val="24"/>
          <w:szCs w:val="24"/>
          <w:lang w:val="es-CO"/>
        </w:rPr>
        <w:t>Modifíquese el artículo 11 de la Ley 1715 de 2014, el cual quedará así:</w:t>
      </w: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11. INCENTIVOS A LA GENERACIÓN DE ENERGÍA ELÉCTRICA CON FUENTES NO CONVENCIONALES - FNCE. Como Fomento a la Investigación, desarrollo e inversión en el ámbito de la producción de energía eléctrica con FNCE y la gestión eficiente de la energía, los obligados a declarar renta que realicen directamente inversiones en este sentido, tendrán derecho a deducir de su renta, por un período no mayor de 15 años, contados a partir del año gravable siguiente en el que haya entrado en operación la inversión, el 50% del total de la inversión realizada.</w:t>
      </w: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r w:rsidRPr="003A174E">
        <w:rPr>
          <w:rFonts w:ascii="Georgia" w:hAnsi="Georgia"/>
          <w:i/>
          <w:sz w:val="24"/>
          <w:szCs w:val="24"/>
          <w:lang w:val="es-CO"/>
        </w:rPr>
        <w:t>El valor a deducir por este concepto en ningún caso podrá ser superior al 50% de la Renta Líquida del contribuyente, determinada antes de restar el valor de la inversión.</w:t>
      </w: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r w:rsidRPr="003A174E">
        <w:rPr>
          <w:rFonts w:ascii="Georgia" w:hAnsi="Georgia"/>
          <w:i/>
          <w:sz w:val="24"/>
          <w:szCs w:val="24"/>
          <w:lang w:val="es-CO"/>
        </w:rPr>
        <w:t>Para los efectos de la obtención del presente beneficio tributario, la inversión causante del mismo deberá ser certificada como proyecto de generación de energía eléctrica a partir de FNCE por la Unidad de Planeación Minero Energética - UPME.</w:t>
      </w:r>
    </w:p>
    <w:p w:rsidR="00EC45FF" w:rsidRPr="003A174E" w:rsidRDefault="00EC45FF" w:rsidP="00EC45FF">
      <w:pPr>
        <w:shd w:val="clear" w:color="auto" w:fill="FFFFFF" w:themeFill="background1"/>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181</w:t>
      </w:r>
      <w:r w:rsidRPr="003A174E">
        <w:rPr>
          <w:rFonts w:ascii="Georgia" w:hAnsi="Georgia"/>
          <w:b/>
          <w:i/>
          <w:sz w:val="24"/>
          <w:szCs w:val="24"/>
          <w:lang w:val="es-CO"/>
        </w:rPr>
        <w:t>°. PARTIDAS ARANCELARIAS PARA PROYECTOS DE ENERGIA SOLAR.</w:t>
      </w:r>
      <w:r w:rsidRPr="003A174E">
        <w:rPr>
          <w:rFonts w:ascii="Georgia" w:hAnsi="Georgia"/>
          <w:i/>
          <w:sz w:val="24"/>
          <w:szCs w:val="24"/>
          <w:lang w:val="es-CO"/>
        </w:rPr>
        <w:t xml:space="preserve"> Adiciónense las siguientes partidas arancelarias al cuadro del primer inciso del artículo 424 del Estatuto Tributario: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85.04.40.90.90 Inversor de energía para sistema de energía solar con paneles.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85.41.40.10.00 Paneles solares.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w:t>
      </w:r>
      <w:r w:rsidRPr="003A174E">
        <w:rPr>
          <w:rFonts w:ascii="Georgia" w:hAnsi="Georgia"/>
          <w:i/>
          <w:sz w:val="24"/>
          <w:szCs w:val="24"/>
          <w:lang w:val="es-CO"/>
        </w:rPr>
        <w:tab/>
        <w:t>90.32.89.90.00 Controlador de carga para sistema de energía solar con paneles.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182</w:t>
      </w:r>
      <w:r w:rsidRPr="003A174E">
        <w:rPr>
          <w:rFonts w:ascii="Georgia" w:hAnsi="Georgia"/>
          <w:b/>
          <w:bCs/>
          <w:i/>
          <w:sz w:val="24"/>
          <w:szCs w:val="24"/>
          <w:lang w:val="es-CO"/>
        </w:rPr>
        <w:t>º. DEL ESTABLECIMIENTO DEL SEGURO AGROPECUARIO</w:t>
      </w:r>
      <w:r w:rsidRPr="003A174E">
        <w:rPr>
          <w:rFonts w:ascii="Georgia" w:hAnsi="Georgia"/>
          <w:i/>
          <w:sz w:val="24"/>
          <w:szCs w:val="24"/>
          <w:lang w:val="es-CO"/>
        </w:rPr>
        <w:t>. Establézcase el seguro agropecuario en Colombia, como instrumento para incentivar y proteger la producción de alimentos, buscar el mejoramiento económico del sector agropecuario, promover el ordenamiento económico del sector agropecuario y como estrategia para coadyuvar al desarrollo global del país.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objeto del seguro es la protección de la totalidad o parte de las inversiones agropecuarias financiadas con recursos de crédito provenientes del sistema nacional de crédito agropecuario o con recursos propios del productor. El seguro agropecuario podrá abarcar tanto el daño emergente como el lucro cesante, previendo las necesidades de producción y comercialización, y el desarrollo integral del sector económico primario.</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PRIMERO. </w:t>
      </w:r>
      <w:r w:rsidRPr="003A174E">
        <w:rPr>
          <w:rFonts w:ascii="Georgia" w:hAnsi="Georgia"/>
          <w:i/>
          <w:sz w:val="24"/>
          <w:szCs w:val="24"/>
          <w:lang w:val="es-CO"/>
        </w:rPr>
        <w:t>El seguro agropecuario podrá ofrecerse bajo la modalidad de seguro paramétrico, de manera que el pago de la indemnización se hará exigible ante la realización de un índice definido en el contrato de seguro.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Esta modalidad de seguro podrá ser tomada por cualquier persona natural o jurídica de derecho privado o de derecho público. En este último caso, la entidad 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 seguro.</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PARAGRAFO SEGUNDO. </w:t>
      </w:r>
      <w:r w:rsidRPr="003A174E">
        <w:rPr>
          <w:rFonts w:ascii="Georgia" w:hAnsi="Georgia"/>
          <w:i/>
          <w:sz w:val="24"/>
          <w:szCs w:val="24"/>
          <w:lang w:val="es-CO"/>
        </w:rPr>
        <w:t> La Comisión Nacional de Crédito Agropecuario definirá las condiciones para acceder al Incentivo al Seguro Agropecuario bajo la modalidad de seguro paramétrico o por índice, con el fin de garantizar que el diseño del incentivo apoye la política de Gestión de Riesgos Agropecuarios trazada por el Ministerio de Agricultura y Desarrollo Rural.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lang w:val="es-CO"/>
        </w:rPr>
        <w:t>ARTÍCULO 183</w:t>
      </w:r>
      <w:r w:rsidRPr="003A174E">
        <w:rPr>
          <w:rFonts w:ascii="Georgia" w:hAnsi="Georgia"/>
          <w:b/>
          <w:i/>
          <w:sz w:val="24"/>
          <w:szCs w:val="24"/>
          <w:lang w:val="es-CO"/>
        </w:rPr>
        <w:t xml:space="preserve">°.PROCEDIMIENTO PARA LAS OPERACIONES DE LOS FONDOS DE ESTABILIZACIÓN DE PRECIOS DE PRODUCTOS AGROPECUARIOS Y PESQUEROS. </w:t>
      </w:r>
      <w:r w:rsidRPr="003A174E">
        <w:rPr>
          <w:rFonts w:ascii="Georgia" w:hAnsi="Georgia"/>
          <w:i/>
          <w:sz w:val="24"/>
          <w:szCs w:val="24"/>
        </w:rPr>
        <w:t>Adiciónese el siguiente inciso al parágrafo 1 del artículo 40 de la Ley 101 de 1993.</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Para los efectos de lo previsto en este parágrafo, se entiende por operaciones de venta interna la de productos de origen nacional y extranjero que se efectúen en el territorio nacional.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rPr>
        <w:t>AR</w:t>
      </w:r>
      <w:r>
        <w:rPr>
          <w:rFonts w:ascii="Georgia" w:hAnsi="Georgia"/>
          <w:b/>
          <w:i/>
          <w:sz w:val="24"/>
          <w:szCs w:val="24"/>
          <w:lang w:val="es-CO"/>
        </w:rPr>
        <w:t>TÍCULO 184</w:t>
      </w:r>
      <w:r w:rsidRPr="003A174E">
        <w:rPr>
          <w:rFonts w:ascii="Georgia" w:hAnsi="Georgia"/>
          <w:b/>
          <w:i/>
          <w:sz w:val="24"/>
          <w:szCs w:val="24"/>
          <w:lang w:val="es-CO"/>
        </w:rPr>
        <w:t xml:space="preserve">º. PRÓRROGA DE LA LEY 1556 DE 2012. </w:t>
      </w:r>
      <w:r w:rsidRPr="003A174E">
        <w:rPr>
          <w:rFonts w:ascii="Georgia" w:hAnsi="Georgia"/>
          <w:i/>
          <w:sz w:val="24"/>
          <w:szCs w:val="24"/>
          <w:lang w:val="es-CO"/>
        </w:rPr>
        <w:t>Prorróguese la vigencia de la Ley 1556 de 2012 y del Fondo Fílmico Colombia allí establecido, hasta el 9 de julio de 2032. El Gobierno nacional promoverá la inclusión de las partidas presupuestales necesarias, convenientes y crecientes a los fines del Fondo Fílmico Colombia, teniendo en consideración la relación positiva de los aportes nacionales por la contraprestación allí establecida y la inversión real en servicios locales, imagen de país y otros fines de la referida Ley.</w:t>
      </w:r>
      <w:r w:rsidRPr="003A174E">
        <w:rPr>
          <w:rFonts w:ascii="Georgia" w:hAnsi="Georgia"/>
          <w:b/>
          <w:i/>
          <w:sz w:val="24"/>
          <w:szCs w:val="24"/>
          <w:lang w:val="es-CO"/>
        </w:rPr>
        <w:t xml:space="preserve">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 xml:space="preserve">No obstante la extensión del plazo de la Ley 1556 de 2012 en la forma establecida en este artículo, tienen vigencia indefinida las </w:t>
      </w:r>
      <w:r w:rsidRPr="003A174E">
        <w:rPr>
          <w:rFonts w:ascii="Georgia" w:hAnsi="Georgia"/>
          <w:i/>
          <w:sz w:val="24"/>
          <w:szCs w:val="24"/>
          <w:lang w:val="es-CO"/>
        </w:rPr>
        <w:lastRenderedPageBreak/>
        <w:t>disposiciones contenidas en los artículos 1, 2, y 14 al 17 de la referida Ley, así como sus normas modificatorias y reglamentaciones.</w:t>
      </w:r>
      <w:r w:rsidRPr="003A174E">
        <w:rPr>
          <w:rFonts w:ascii="Georgia" w:hAnsi="Georgia"/>
          <w:b/>
          <w:i/>
          <w:sz w:val="24"/>
          <w:szCs w:val="24"/>
          <w:lang w:val="es-CO"/>
        </w:rPr>
        <w:t xml:space="preserve">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La contraprestación del Fondo Fílmico Colombia establecida en la Ley 1556 de 2012, puede otorgarse igualmente a otros géneros audiovisuales realizados en Colombia conforme al Manual de Asignación de Recursos que expide el Comité Promoción Fílmica Colombia. No menos de un cincuenta por ciento (50%) del Fondo Fílmico Colombia será asignado a obras cinematográficas, salvo que no haya postulaciones suficientes o avaladas por el Comité Promoción Fílmica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185</w:t>
      </w:r>
      <w:r w:rsidRPr="003A174E">
        <w:rPr>
          <w:rFonts w:ascii="Georgia" w:hAnsi="Georgia"/>
          <w:b/>
          <w:i/>
          <w:sz w:val="24"/>
          <w:szCs w:val="24"/>
          <w:lang w:val="es-CO"/>
        </w:rPr>
        <w:t>º. CONTRAPRESTACIÓN Y ESTÍMULO A LA PRODUCCIÓN DE OBRAS AUDIOVISUALES EN COLOMBIA</w:t>
      </w:r>
      <w:r w:rsidRPr="003A174E">
        <w:rPr>
          <w:rFonts w:ascii="Georgia" w:hAnsi="Georgia"/>
          <w:i/>
          <w:sz w:val="24"/>
          <w:szCs w:val="24"/>
          <w:lang w:val="es-CO"/>
        </w:rPr>
        <w:t xml:space="preserve">. Modifíquese el artículo 9 de la Ley 1556 de 2012,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9. CONTRAPRESTACIÓN Y ESTÍMULO A LA PRODUCCIÓN DE OBRAS AUDIOVISUALES EN COLOMBIA. Las empresas productoras de obras  audiovisuales, rodadas total o parcialmente dentro del territorio colombiano que celebren los Contratos Filmación Colombia, tendrán una contraprestación equivalente al cuarenta por ciento (40%) del valor de los gastos realizados en el país por concepto de servicios cinematográficos contratados con sociedades colombianas de servicios cinematográficos y al veinte por ciento (20%) del valor de los gastos en hotelería, alimentación y transporte, siempre y cuando se cumplan las condiciones establecidas en el manual de asignación de recursos.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obras audiovisuales no nacionales de cualquier género o formato, producidas o postproducidas en Colombia de manera total o parcial cuando sean previamente aprobadas por el Comité Promoción Fílmica Colombia, darán derecho a la solicitud de un Certificado de Inversión Audiovisual en Colombia, descontable del impuesto de renta hasta por un valor equivalente al treinta y cinco por ciento (35%) del valor de la inversión que realicen en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poder acceder al Certificado de Inversión Audiovisual en Colombia debe demostrarse que la inversión se realizó sobre la contratación de personas naturales o jurídicas colombianas que provean servicios audiovisuales necesarios para las diversas etapas de la realización, producción o postproducción, incluidos servicios de hotelería, alimentación y transporte para la obra respectiva.</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En el caso de las empresas productoras de obras cinematográficas nacionales, estas podrán o no realizar la contratación a través de sociedades colombianas de servicios cinematográficos.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El titular o productor cinematográfico deberá garantizar integralmente al personal que contrate o vincule laboralmente en el país, los derechos y prestaciones sociales consagrados en la legislación colombiana.</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3.</w:t>
      </w:r>
      <w:r w:rsidRPr="003A174E">
        <w:rPr>
          <w:rFonts w:ascii="Georgia" w:hAnsi="Georgia"/>
          <w:i/>
          <w:sz w:val="24"/>
          <w:szCs w:val="24"/>
          <w:lang w:val="es-CO"/>
        </w:rPr>
        <w:t xml:space="preserve"> Las obras audiovisuales a las que se refiere este artículo podrán optar por la contraprestación o el certificado. Ambos mecanismos de estímulo no son compatibles en una misma obra.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El Certificado de Inversión Audiovisual en Colombia es un valor negociable que se emite a nombre del productor extranjero responsable del proyecto, el cual puede negociarlo con personas naturales o jurídicas declarantes del impuesto de renta en Colombia. El ingreso que obtenga el productor extranjero por la transferencia del Certificado no constituye para él ingreso tributario en Colombia, y no es susceptible de retención en la fuente en el país.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5</w:t>
      </w:r>
      <w:r w:rsidRPr="003A174E">
        <w:rPr>
          <w:rFonts w:ascii="Georgia" w:hAnsi="Georgia"/>
          <w:i/>
          <w:sz w:val="24"/>
          <w:szCs w:val="24"/>
          <w:lang w:val="es-CO"/>
        </w:rPr>
        <w:t>. Para el uso del certificado de inversión audiovisual el Gobierno nacional reglamentará la materia.</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6.</w:t>
      </w:r>
      <w:r w:rsidRPr="003A174E">
        <w:rPr>
          <w:rFonts w:ascii="Georgia" w:hAnsi="Georgia"/>
          <w:i/>
          <w:sz w:val="24"/>
          <w:szCs w:val="24"/>
          <w:lang w:val="es-CO"/>
        </w:rPr>
        <w:t xml:space="preserve"> El Comité Promoción Fílmica Colombia fijará en los dos últimos meses de cada año, el monto máximo de Certificados de Inversión Audiovisual en Colombia que podrán otorgarse en el año calendario siguiente, en perspectiva de las condiciones de sector audiovisual, así como el monto mínimo de las inversiones requeridas en el país, el porcentaje de inversión para la operación del sistema de evaluación, seguimiento de proyectos y otorgamiento de los Certificados sin superar un cinco por ciento (5%), requisitos de inversión, sectores audiovisuales destinatarios y demás aspectos operativos correspondientes. El manejo del sistema pertinente de evaluación, seguimiento de proyectos y emisión de los Certificados podrá hacerse, de ser preciso según decisión del Ministerio de Cultura, mediante un contrato de asociación o cooperación con una entidad sin ánimo de lucro afín con los propósitos de esta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Manual de Asignación de Recursos que corresponde expedir al Comité Promoción Fílmica Colombia determinará mecanismos similares de operatividad para el sistema de contraprestación del Fondo Fílmico Colombia y el de los Certificados de Inversión Audiovisual en Colombia.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186</w:t>
      </w:r>
      <w:r w:rsidRPr="003A174E">
        <w:rPr>
          <w:rFonts w:ascii="Georgia" w:hAnsi="Georgia"/>
          <w:b/>
          <w:i/>
          <w:sz w:val="24"/>
          <w:szCs w:val="24"/>
          <w:lang w:val="es-CO"/>
        </w:rPr>
        <w:t>°. ÁREAS DE DESARROLLO NARANJA</w:t>
      </w:r>
      <w:r w:rsidRPr="003A174E">
        <w:rPr>
          <w:rFonts w:ascii="Georgia" w:hAnsi="Georgia"/>
          <w:i/>
          <w:sz w:val="24"/>
          <w:szCs w:val="24"/>
          <w:lang w:val="es-CO"/>
        </w:rPr>
        <w:t xml:space="preserve">. Se entiende por Áreas de Desarrollo Naranja -ADN los espacios geográficos que sean delimitados y reconocidos a través de instrumentos de ordenamiento territorial o decisiones administrativas de la entidad territorial, que tengan por objeto incentivar y fortalecer las actividades culturales y creativas previstas en el artículo 2 de la Ley 1834 de 2017. Las ADN basadas en la oferta cultural y creativa son espacios que operan como centros de actividad económica y creativa, contribuyen a la renovación urbana y al mejoramiento del área de ubicación, crean un ambiente propicio en el que confluyen iniciativas en estos campos, fortalecen el emprendimiento, el empleo basado en la creatividad, el turismo, la recuperación del patrimonio cultural construido, la conservación medioambiental, la </w:t>
      </w:r>
      <w:r w:rsidRPr="003A174E">
        <w:rPr>
          <w:rFonts w:ascii="Georgia" w:hAnsi="Georgia"/>
          <w:i/>
          <w:sz w:val="24"/>
          <w:szCs w:val="24"/>
          <w:lang w:val="es-CO"/>
        </w:rPr>
        <w:lastRenderedPageBreak/>
        <w:t>transferencia de conocimientos, el sentido de pertenencia, la inclusión social y el acceso ciudadano a la oferta cultural y creativa.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desarrollo de cada ADN la autoridad competente podrá definir las actividades culturales y creativas a desarrollar, así como los beneficios normativos y tributarios respectivos.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estimular la localización de actividades culturales y creativas en los espacios identificados y crear un ambiente que permita atraer la inversión para mejoras locativas, se podrá promover la exención de un porcentaje del impuesto predial por un tiempo establecido, la exención de un porcentaje del impuesto por la compra o venta de inmuebles y la exención del pago del impuesto de delineación urbana.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las autoridades competentes deben establecer los procedimientos de identificación y registro de los beneficiarios, los procedimientos legales para su operación y los mecanismos de control y seguimiento pertinentes.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la identificación de los beneficiarios tendrá en cuenta a los residentes de la zona y a aquellos que realizan allí sus actividades culturales y creativas, para buscar un equilibrio con la inversión público y privada que se atraiga.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inversiones que se realicen en Áreas de Desarrollo Naranja - ADN tendrán el mismo beneficio de obras por impuestos previsto en el artículo 71 de la Ley 1943 de 2018, que adiciona el artículo 800-1 al Estatuto Tributario. Las entidades estales declarantes de renta y los particulares que participen en asociaciones público privadas regidas por la Ley 1508 de 2012 para la realización de proyectos de economía creativa y que desarrollen infraestructuras en la forma descrita en el precitado artículo 71, también serán destinatarias de este mecanismo.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Las instancias de evaluación, viabilización y aprobación deberán contar con el concepto previo favorable del Ministerio de Cultura. Esta entidad deberá conformar un banco de proyectos susceptibles de contar con viabilidad técnica y presupuesta para recibir el amparo de que trata este artículo y que puedan llevarse a cabo en las ADN que se establezcan.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reglamentará lo previsto en este artículo y tendrá la facultad para definir los topes o montos máximos de los proyectos beneficiarios de obras por impuestos en Áreas de Desarrollo Naranja.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color w:val="000000"/>
          <w:sz w:val="24"/>
          <w:szCs w:val="24"/>
          <w:lang w:val="es-ES_tradnl"/>
        </w:rPr>
        <w:t>ARTÍCUL</w:t>
      </w:r>
      <w:r>
        <w:rPr>
          <w:rFonts w:ascii="Georgia" w:hAnsi="Georgia"/>
          <w:b/>
          <w:i/>
          <w:color w:val="000000"/>
          <w:sz w:val="24"/>
          <w:szCs w:val="24"/>
          <w:lang w:val="es-ES_tradnl"/>
        </w:rPr>
        <w:t>O 187</w:t>
      </w:r>
      <w:r w:rsidRPr="003A174E">
        <w:rPr>
          <w:rFonts w:ascii="Georgia" w:hAnsi="Georgia"/>
          <w:b/>
          <w:i/>
          <w:color w:val="000000"/>
          <w:sz w:val="24"/>
          <w:szCs w:val="24"/>
          <w:lang w:val="es-ES_tradnl"/>
        </w:rPr>
        <w:t xml:space="preserve">º (NUEVO). PROYECTOS DE ECONOMÍA CREATIVA. </w:t>
      </w:r>
      <w:r w:rsidRPr="003A174E">
        <w:rPr>
          <w:rFonts w:ascii="Georgia" w:hAnsi="Georgia"/>
          <w:i/>
          <w:sz w:val="24"/>
          <w:szCs w:val="24"/>
        </w:rPr>
        <w:t xml:space="preserve">El Ministerio de Cultura podrá realizar una convocatoria anual de proyectos de economía creativa en los campos definidos en el artículo 2 de la Ley 1834 de 2017, así como planes especiales de salvaguardia de manifestaciones culturales incorporadas a listas representativas de patrimonio cultural inmaterial acordes </w:t>
      </w:r>
      <w:r w:rsidRPr="003A174E">
        <w:rPr>
          <w:rFonts w:ascii="Georgia" w:hAnsi="Georgia"/>
          <w:i/>
          <w:sz w:val="24"/>
          <w:szCs w:val="24"/>
        </w:rPr>
        <w:lastRenderedPageBreak/>
        <w:t xml:space="preserve">con la Ley 1185 de 2008, e infraestructura de espectáculos públicos de artes escénicas previstos en el artículo 4 de la Ley 1493 de 2011, respecto de las cuales las inversiones o donaciones recibirán similar deducción a la prevista en el artículo 195 </w:t>
      </w:r>
      <w:r w:rsidRPr="003A174E">
        <w:rPr>
          <w:rFonts w:ascii="Georgia" w:hAnsi="Georgia"/>
          <w:i/>
          <w:sz w:val="24"/>
          <w:szCs w:val="24"/>
          <w:lang w:val="es-CO"/>
        </w:rPr>
        <w:t>de la Ley 1607 de 2012. Los certificados de inversión que se generen para emparar el incentivo serán a la orden negociables en el mercado.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Consejo Nacional de la Economía Naranja establecerá un cupo anual máximo para estos efectos.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PARÁG</w:t>
      </w:r>
      <w:r>
        <w:rPr>
          <w:rFonts w:ascii="Georgia" w:hAnsi="Georgia"/>
          <w:b/>
          <w:i/>
          <w:sz w:val="24"/>
          <w:szCs w:val="24"/>
        </w:rPr>
        <w:t>RAFO</w:t>
      </w:r>
      <w:r w:rsidRPr="003A174E">
        <w:rPr>
          <w:rFonts w:ascii="Georgia" w:hAnsi="Georgia"/>
          <w:b/>
          <w:i/>
          <w:sz w:val="24"/>
          <w:szCs w:val="24"/>
        </w:rPr>
        <w:t>.</w:t>
      </w:r>
      <w:r w:rsidRPr="003A174E">
        <w:rPr>
          <w:rFonts w:ascii="Georgia" w:hAnsi="Georgia"/>
          <w:i/>
          <w:sz w:val="24"/>
          <w:szCs w:val="24"/>
        </w:rPr>
        <w:t xml:space="preserve"> El Ministerio de Cultura podrá definir, de considerarlo necesario, que la convocatoria se realice por intermedio de una entidad sin animo de lucro adscrita a esa entidad, para lo cual celebrará de manera directa el respectivo convenio. Las inversiones o donaciones que se canalicen mediante el mecanismo previsto en este artículo deberán cubrir los costos que la convocatoria demande.</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0"/>
        <w:jc w:val="both"/>
        <w:rPr>
          <w:rFonts w:ascii="Georgia" w:hAnsi="Georgia"/>
          <w:b/>
          <w:i/>
          <w:sz w:val="24"/>
          <w:szCs w:val="24"/>
          <w:lang w:val="es-ES"/>
        </w:rPr>
      </w:pPr>
      <w:r>
        <w:rPr>
          <w:rFonts w:ascii="Georgia" w:hAnsi="Georgia"/>
          <w:b/>
          <w:i/>
          <w:sz w:val="24"/>
          <w:szCs w:val="24"/>
        </w:rPr>
        <w:t>ARTÍCULO 188</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xml:space="preserve">. FOMENTO DE LOS MICROCRÉDITOS. </w:t>
      </w:r>
      <w:r w:rsidRPr="003A174E">
        <w:rPr>
          <w:rFonts w:ascii="Georgia" w:hAnsi="Georgia"/>
          <w:i/>
          <w:sz w:val="24"/>
          <w:szCs w:val="24"/>
        </w:rPr>
        <w:t>En armonía con las Bases del “Plan Nacional de Desarrollo 2018-2022 Pacto por Colombia, Pacto por la Equidad”, el Gobierno nacional reglamentará la manera en que se profundicen los microcréditos a través de las entidades del sector financiero como instrumento de formalización de generación de empleo e instrumento para combatir el “gota a gota” o “paga diario”.</w:t>
      </w:r>
      <w:r w:rsidRPr="003A174E">
        <w:rPr>
          <w:rFonts w:ascii="Georgia" w:hAnsi="Georgia"/>
          <w:i/>
          <w:sz w:val="24"/>
          <w:szCs w:val="24"/>
          <w:lang w:val="es-ES"/>
        </w:rPr>
        <w:t xml:space="preserve"> </w:t>
      </w:r>
    </w:p>
    <w:p w:rsidR="00EC45FF" w:rsidRPr="003A174E" w:rsidRDefault="00EC45FF" w:rsidP="00EC45FF">
      <w:pPr>
        <w:spacing w:after="0"/>
        <w:jc w:val="both"/>
        <w:rPr>
          <w:rFonts w:ascii="Georgia" w:hAnsi="Georgia"/>
          <w:b/>
          <w:i/>
          <w:sz w:val="24"/>
          <w:szCs w:val="24"/>
          <w:lang w:val="es-ES"/>
        </w:rPr>
      </w:pPr>
    </w:p>
    <w:p w:rsidR="00EC45FF" w:rsidRPr="003A174E" w:rsidRDefault="00EC45FF" w:rsidP="00EC45FF">
      <w:pPr>
        <w:spacing w:after="0"/>
        <w:jc w:val="both"/>
        <w:rPr>
          <w:rFonts w:ascii="Georgia" w:hAnsi="Georgia"/>
          <w:i/>
          <w:sz w:val="24"/>
          <w:szCs w:val="24"/>
        </w:rPr>
      </w:pPr>
      <w:r w:rsidRPr="003A174E">
        <w:rPr>
          <w:rFonts w:ascii="Georgia" w:hAnsi="Georgia"/>
          <w:b/>
          <w:i/>
          <w:sz w:val="24"/>
          <w:szCs w:val="24"/>
        </w:rPr>
        <w:t>PARÁGRAFO.</w:t>
      </w:r>
      <w:r w:rsidRPr="003A174E">
        <w:rPr>
          <w:rFonts w:ascii="Georgia" w:hAnsi="Georgia"/>
          <w:i/>
          <w:sz w:val="24"/>
          <w:szCs w:val="24"/>
        </w:rPr>
        <w:t xml:space="preserve"> El Gobierno nacional fomentará el desarrollo de cadenas productivas entre empresarios MiPymes a través de figuras como la Asociatividad que generen valor agregado al producto final y permitan mayor innovación tecnológica entre las unidades productivas.</w:t>
      </w:r>
    </w:p>
    <w:p w:rsidR="00EC45FF" w:rsidRPr="003A174E" w:rsidRDefault="00EC45FF" w:rsidP="00EC45FF">
      <w:pPr>
        <w:spacing w:after="0"/>
        <w:jc w:val="both"/>
        <w:rPr>
          <w:rFonts w:ascii="Georgia" w:hAnsi="Georgia"/>
          <w:i/>
          <w:sz w:val="24"/>
          <w:szCs w:val="24"/>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SECCIÓN III</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PACTO POR LA EQUIDAD: POLÍTICA SOCIAL MODERNA CENTRADA EN LA FAMILIA, EFICIENTE, DE CALIDAD Y CONECTADA A MERCADOS</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1</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 xml:space="preserve">EQUIDAD EN LA EDUCACIÓN </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189</w:t>
      </w:r>
      <w:r w:rsidRPr="003A174E">
        <w:rPr>
          <w:rFonts w:ascii="Georgia" w:hAnsi="Georgia"/>
          <w:b/>
          <w:i/>
          <w:sz w:val="24"/>
          <w:szCs w:val="24"/>
          <w:lang w:val="es-CO"/>
        </w:rPr>
        <w:t xml:space="preserve">º. FORTALECIMIENTO FINANCIERO DE LA EDUCACIÓN SUPERIOR PÚBLICA. </w:t>
      </w:r>
      <w:r w:rsidRPr="003A174E">
        <w:rPr>
          <w:rFonts w:ascii="Georgia" w:hAnsi="Georgia"/>
          <w:i/>
          <w:sz w:val="24"/>
          <w:szCs w:val="24"/>
          <w:lang w:val="es-CO"/>
        </w:rPr>
        <w:t xml:space="preserve">La Ley Anual de Presupuesto para 2020 asignará a la base presupuestal de funcionamiento de las Instituciones de Educación Superior Pública un incremento del IPC más 4 puntos a los recursos de transferencia ordinaria. La Ley Anual de Presupuesto para 2021 asignará a la base presupuestal de funcionamiento de las Instituciones de Educación Superior Pública un incremento del IPC más 4,5 puntos a los recursos de transferencia ordinaria. La Ley Anual de Presupuesto para 2022 asignará a la base presupuestal de funcionamiento de las Instituciones de Educación Superior Pública un incremento </w:t>
      </w:r>
      <w:r w:rsidRPr="003A174E">
        <w:rPr>
          <w:rFonts w:ascii="Georgia" w:hAnsi="Georgia"/>
          <w:i/>
          <w:sz w:val="24"/>
          <w:szCs w:val="24"/>
          <w:lang w:val="es-CO"/>
        </w:rPr>
        <w:lastRenderedPageBreak/>
        <w:t>del IPC más 4,65 puntos a los recursos de transferencia ordinaria. El Ministerio de Educación Nacional establecerá los mecanismos de distribución de estos recursos, con criterios de equidad y fortalecimiento institucional, entre otros.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Nación asignará recursos de funcionamiento del Presupuesto General de la Nación a todas las Instituciones de Educación Superior que son establecimientos públicos del orden territorial. Para ello el Ministerio de Educación Nacional establecerá anualmente con estas instituciones, el mecanismo de inversión en los presupuestos institucionales.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Nación financiará proyectos de inversión de las Instituciones de Educación Superior Públicas los cuales no harán parte de la base presupuestal, que incluyen saneamiento de pasivos y aportes adicionales de inversión.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Estos programas incluirán medidas orientadas al pago de acreencias laborales, reestructuración y saneamiento de pasivos, adquisición de cartera, y estarán precedidos del estudio que realizará cada Institución de Educación Superior Pública, el cual deberá ser validado por el Ministerio de Educación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adicionales para inversión también se podrán destinar para el mejoramiento de la calidad de las Instituciones de Educación Superior Públicas, de acuerdo con las líneas definidas por el Ministerio de Educación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adelantará un proceso de revisión integral de fuentes y usos de los recursos de las Instituciones de Educación Superior públicas con miras a plantear una reforma al esquema de financiación de las mismas, que permita la garantía de su financiación y sostenibilidad en el mediano y largo plazo.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190</w:t>
      </w:r>
      <w:r w:rsidRPr="003A174E">
        <w:rPr>
          <w:rFonts w:ascii="Georgia" w:hAnsi="Georgia"/>
          <w:b/>
          <w:i/>
          <w:sz w:val="24"/>
          <w:szCs w:val="24"/>
          <w:lang w:val="es-CO"/>
        </w:rPr>
        <w:t xml:space="preserve">º. FONDO DE FINANCIAMIENTO DE LA INFRAESTRUCTURA EDUCATIVA. </w:t>
      </w:r>
      <w:r w:rsidRPr="003A174E">
        <w:rPr>
          <w:rFonts w:ascii="Georgia" w:hAnsi="Georgia"/>
          <w:i/>
          <w:sz w:val="24"/>
          <w:szCs w:val="24"/>
          <w:lang w:val="es-CO"/>
        </w:rPr>
        <w:t xml:space="preserve">Modifíquese el artículo 59 de la Ley 1753 de 2015,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59. FONDO DE FINANCIAMIENTO DE LA INFRAESTRUCTURA EDUCATIVA. El Fondo de Financiamiento de la Infraestructura es una 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cargo a los recursos administrados por el Fondo de Financiamiento de la Infraestructura Educativa, se asumirán los costos en que se incurra para el manejo y control de los recursos y los gastos de operación del fondo.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Fondo de Financiamiento de la Infraestructura Educativa será administrado por una junta cuya estructura y funcionamiento serán definidos por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del Fondo de Financiamiento de la Infraestructura Educativa para educación inicial, preescolar, básica y media provendrán de las siguientes fuentes: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Los provenientes del recaudo establecido en el artículo 11 de la Ley 21 de 1982, destinados al Ministerio de Educación Nacional.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Las partidas que se le asignen en el Presupuesto Nacional y estén contenidas en el Marco Fiscal de Mediano Plazo y el Marco de Gastos de Mediano Plazo.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Los rendimientos financieros derivados de la inversión de sus recursos.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Así mismo, los proyectos de infraestructura educativa que se desarrollen a través del Fondo podrán contar con recursos provenientes de: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 El Sistema General de Regalías destinados a proyectos específicos de infraestructura educativa, para los casos en que el OCAD designe al Ministerio de Educación Nacional como ejecutor de los mismos.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 Los recursos de cooperación internacional o cooperación de privados que este gestione o se gestionen a su favor.</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Aportes de los departamentos, distritos y municipios y de esquemas asociativos territoriales: regiones administrativas y de planificación, las regiones de planeación y gestión, las asociaciones de departamentos, las áreas metropolitanas, las asociaciones de distritos especiales, las provincias administrativas y de planificación, las asociaciones de municipio y la Región administrativa de Planificación Especial - RAPE.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g) Participación del sector privado mediante proyectos de Asociaciones Público-Privadas.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h) Obras por impuestos.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caso de que un proyecto priorizado por la Junta Administradora involucre cualquiera de los recursos de que tratan los literales d), e), f), g) y h) del presente artículo, con cargo al Fondo de Financiamiento de la Infraestructura Educativa se podrán constituir patrimonios autónomos que se regirán por normas de derecho privado en donde podrán confluir todas las fuentes de recursos con las que cuenten los proyectos. Dichos Patrimonios Autónomos, podrán celebrar operaciones de crédito interno o externo a su nombre, para lo cual la Nación podrá otorgar los avales o garantías correspondientes.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1. </w:t>
      </w:r>
      <w:r w:rsidRPr="003A174E">
        <w:rPr>
          <w:rFonts w:ascii="Georgia" w:hAnsi="Georgia"/>
          <w:i/>
          <w:sz w:val="24"/>
          <w:szCs w:val="24"/>
          <w:lang w:val="es-CO"/>
        </w:rPr>
        <w:t>Todo proyecto sufragado por el Fondo de Financiamiento de la Infraestructura Educativa deberá contemplar obligatoriamente los ajustes razonables para acceso a la población con discapacidad de que trata la Ley Estatutaria 1618 de 2013 o la que la modifique o sustituya</w:t>
      </w:r>
      <w:r w:rsidRPr="003A174E">
        <w:rPr>
          <w:rFonts w:ascii="Georgia" w:hAnsi="Georgia"/>
          <w:b/>
          <w:i/>
          <w:sz w:val="24"/>
          <w:szCs w:val="24"/>
          <w:lang w:val="es-CO"/>
        </w:rPr>
        <w:t>.</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 xml:space="preserve">PARÁGRAFO 2. </w:t>
      </w:r>
      <w:r w:rsidRPr="003A174E">
        <w:rPr>
          <w:rFonts w:ascii="Georgia" w:hAnsi="Georgia"/>
          <w:i/>
          <w:sz w:val="24"/>
          <w:szCs w:val="24"/>
          <w:lang w:val="es-CO"/>
        </w:rPr>
        <w:t xml:space="preserve">El Ministerio de Educación Nacional diseñará mecanismos para fortalecer la gestión y gobernanza del Fondo, incluyendo la participación de representantes de entidades territoriales en la Junta Directiva; mejorar la coordinación y articulación con los territorios; definir criterios de priorización para la estructuración y ejecución de proyectos, con énfasis en iniciativas de zonas rurales dispersas y propender por un sistema adecuado de rendición de cuentas.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PARAGRAFO 3.</w:t>
      </w:r>
      <w:r w:rsidRPr="003A174E">
        <w:rPr>
          <w:rFonts w:ascii="Georgia" w:hAnsi="Georgia"/>
          <w:i/>
          <w:sz w:val="24"/>
          <w:szCs w:val="24"/>
          <w:lang w:val="es-CO"/>
        </w:rPr>
        <w:t xml:space="preserve"> El Fondo levantará la información y elaborará el diagnóstico de la infraestructura educativa a nivel nacional.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PARAGRAFO 4. </w:t>
      </w:r>
      <w:r w:rsidRPr="003A174E">
        <w:rPr>
          <w:rFonts w:ascii="Georgia" w:hAnsi="Georgia"/>
          <w:i/>
          <w:sz w:val="24"/>
          <w:szCs w:val="24"/>
          <w:lang w:val="es-CO"/>
        </w:rPr>
        <w:t>El régimen de contratación del Fondo de Financiamiento de Infraestructura Educativa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Los procesos de contratación deberán tener especial acompañamiento de los órganos de control.</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191</w:t>
      </w:r>
      <w:r w:rsidRPr="003A174E">
        <w:rPr>
          <w:rFonts w:ascii="Georgia" w:hAnsi="Georgia"/>
          <w:b/>
          <w:i/>
          <w:sz w:val="24"/>
          <w:szCs w:val="24"/>
          <w:lang w:val="es-CO"/>
        </w:rPr>
        <w:t xml:space="preserve">º. AVANCE EN EL ACCESO EN EDUCACIÓN SUPERIOR PÚBLICA. </w:t>
      </w:r>
      <w:r w:rsidRPr="003A174E">
        <w:rPr>
          <w:rFonts w:ascii="Georgia" w:hAnsi="Georgia"/>
          <w:i/>
          <w:sz w:val="24"/>
          <w:szCs w:val="24"/>
          <w:lang w:val="es-CO"/>
        </w:rPr>
        <w:t>El Gobierno nacional avanzará en un proceso gradual para el acceso, permanencia y graduación en la educación superior pública de la población en condiciones de vulnerabilidad, incluida la rural, que sea admitida en una institución de educación superior pública, de formación técnica profesional, tecnológica y universitaria. Para este fin, podrán establecerse apoyos para pago de matrícula a través del ICETEX y subsidios de sostenimiento con cargo a programas del Ministerio de Educación Nacional, el Departamento Administrativo para la Prosperidad Social y otras fuentes.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192</w:t>
      </w:r>
      <w:r w:rsidRPr="003A174E">
        <w:rPr>
          <w:rFonts w:ascii="Georgia" w:hAnsi="Georgia"/>
          <w:b/>
          <w:i/>
          <w:sz w:val="24"/>
          <w:szCs w:val="24"/>
          <w:lang w:val="es-CO"/>
        </w:rPr>
        <w:t>º. EXCEDENTES DEL ICETEX.</w:t>
      </w:r>
      <w:r w:rsidRPr="003A174E">
        <w:rPr>
          <w:rFonts w:ascii="Georgia" w:hAnsi="Georgia"/>
          <w:i/>
          <w:sz w:val="24"/>
          <w:szCs w:val="24"/>
          <w:lang w:val="es-CO"/>
        </w:rPr>
        <w:t xml:space="preserve"> El Ministerio de Educación Nacional podrá utilizar los excedentes que se generen en el ICETEX a partir de los recursos girados por la Nación. En caso de hacerlo, debe destinarlo prioritariamente a atender los subsidios de tasa de interés, condonación y manutención asociados a los créditos educativos; a programas de alivio de cartera para sus beneficiarios o de fortalecimiento de la educación superior; al pago de las obligaciones que el ICETEX haya adquirido con dichos fines; a financiar las renovaciones o las adjudicaciones de nuevos créditos educativos o para otros objetivos similares.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193</w:t>
      </w:r>
      <w:r w:rsidRPr="003A174E">
        <w:rPr>
          <w:rFonts w:ascii="Georgia" w:hAnsi="Georgia"/>
          <w:b/>
          <w:i/>
          <w:sz w:val="24"/>
          <w:szCs w:val="24"/>
          <w:lang w:val="es-CO"/>
        </w:rPr>
        <w:t>°. ARMONIZACIÓN DEL PLAN NACIONAL DE DESARROLLO CON EL PLAN NACIONAL DECENAL DE EDUCACIÓN 2016-2026.</w:t>
      </w:r>
      <w:r w:rsidRPr="003A174E">
        <w:rPr>
          <w:rFonts w:ascii="Georgia" w:hAnsi="Georgia"/>
          <w:i/>
          <w:sz w:val="24"/>
          <w:szCs w:val="24"/>
          <w:lang w:val="es-CO"/>
        </w:rPr>
        <w:t xml:space="preserve"> En cumplimiento de lo ordenado por la Ley General de Educación (Ley 115 de 1994), la política educativa del Gobierno nacional contenida en el presente Plan Nacional de Desarrollo deberá armonizarse con los propósitos y </w:t>
      </w:r>
      <w:r w:rsidRPr="003A174E">
        <w:rPr>
          <w:rFonts w:ascii="Georgia" w:hAnsi="Georgia"/>
          <w:i/>
          <w:sz w:val="24"/>
          <w:szCs w:val="24"/>
          <w:lang w:val="es-CO"/>
        </w:rPr>
        <w:lastRenderedPageBreak/>
        <w:t>lineamientos del Plan Nacional Decenal de Educación 2016-2026. Con el fin de fortalecer la planeación educativa en las regiones, los departamentos, distritos y municipios articularán y armonizarán sus Planes de Desarrollo en materia educativa con lo dispuesto en el Plan Decenal de Educación 2016-2026 y en el Plan Nacional de Desarrollo.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194</w:t>
      </w:r>
      <w:r w:rsidRPr="003A174E">
        <w:rPr>
          <w:rFonts w:ascii="Georgia" w:hAnsi="Georgia"/>
          <w:b/>
          <w:i/>
          <w:sz w:val="24"/>
          <w:szCs w:val="24"/>
          <w:lang w:val="es-CO"/>
        </w:rPr>
        <w:t xml:space="preserve">°. COMISIÓN PARA LA REVISIÓN DEL SISTEMA GENERAL DE PARTICIPACIONES. </w:t>
      </w:r>
      <w:r w:rsidRPr="003A174E">
        <w:rPr>
          <w:rFonts w:ascii="Georgia" w:hAnsi="Georgia"/>
          <w:i/>
          <w:sz w:val="24"/>
          <w:szCs w:val="24"/>
          <w:lang w:val="es-CO"/>
        </w:rPr>
        <w:t>Créase una Comisión de alto nivel, que se instalará dentro de los dos (2) meses siguientes contados a partir de la expedición y entrada en vigencia del presente Plan Nacional de Desarrollo, y sesionará durante los seis (6) meses siguientes, para elaborar una propuesta de acto legislativo que incremente real y progresivamente los recursos del Sistema General de Participaciones.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Comisión estará bajo el liderazgo del Ministerio de Hacienda y Crédito Público y el Departamento Nacional de Planeación, y harán parte de ella: el Ministerio de Educación Nacional, el Ministerio de Salud y Protección Social, el Ministerio de Vivienda, Ciudad y Territorio, el Ministerio del Interior, la Federación Colombiana de Trabajadores de la Educación, agremiaciones, organizaciones y sectores sociales involucrados en las transferencias del Sistema General de Participaciones.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195</w:t>
      </w:r>
      <w:r w:rsidRPr="003A174E">
        <w:rPr>
          <w:rFonts w:ascii="Georgia" w:hAnsi="Georgia"/>
          <w:b/>
          <w:i/>
          <w:sz w:val="24"/>
          <w:szCs w:val="24"/>
          <w:lang w:val="es-CO"/>
        </w:rPr>
        <w:t>°. CREACIÓN DE LA UNIDAD ADMINISTRATIVA ESPECIAL DE ALIMENTACIÓN ESCOLAR</w:t>
      </w:r>
      <w:r w:rsidRPr="003A174E">
        <w:rPr>
          <w:rFonts w:ascii="Georgia" w:hAnsi="Georgia"/>
          <w:i/>
          <w:sz w:val="24"/>
          <w:szCs w:val="24"/>
          <w:lang w:val="es-CO"/>
        </w:rPr>
        <w:t>. 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 establezca en 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 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 del Presidente de la República, por un consejo directivo, integrado por el Ministro de Educación, quien lo presidirá, y por los demás delegados o representantes que indique el Gobierno nacional. La entidad deberá entrar en funcionamiento en el año 2020.</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eastAsia="es-CO"/>
        </w:rPr>
        <w:t xml:space="preserve">ARTÍCULO </w:t>
      </w:r>
      <w:r>
        <w:rPr>
          <w:rFonts w:ascii="Georgia" w:hAnsi="Georgia"/>
          <w:b/>
          <w:i/>
          <w:sz w:val="24"/>
          <w:szCs w:val="24"/>
          <w:lang w:val="es-ES" w:eastAsia="es-CO"/>
        </w:rPr>
        <w:t>196</w:t>
      </w:r>
      <w:r w:rsidRPr="003A174E">
        <w:rPr>
          <w:rFonts w:ascii="Georgia" w:hAnsi="Georgia"/>
          <w:b/>
          <w:i/>
          <w:sz w:val="24"/>
          <w:szCs w:val="24"/>
          <w:lang w:val="es-ES" w:eastAsia="es-CO"/>
        </w:rPr>
        <w:t>°</w:t>
      </w:r>
      <w:r w:rsidRPr="003A174E">
        <w:rPr>
          <w:rFonts w:ascii="Georgia" w:hAnsi="Georgia"/>
          <w:b/>
          <w:i/>
          <w:sz w:val="24"/>
          <w:szCs w:val="24"/>
          <w:lang w:eastAsia="es-CO"/>
        </w:rPr>
        <w:t>.</w:t>
      </w:r>
      <w:r w:rsidRPr="003A174E">
        <w:rPr>
          <w:rFonts w:ascii="Georgia" w:hAnsi="Georgia"/>
          <w:b/>
          <w:i/>
          <w:sz w:val="24"/>
          <w:szCs w:val="24"/>
          <w:lang w:val="es-ES" w:eastAsia="es-CO"/>
        </w:rPr>
        <w:t xml:space="preserve"> BECAS POR IMPUESTOS. </w:t>
      </w:r>
      <w:r w:rsidRPr="003A174E">
        <w:rPr>
          <w:rFonts w:ascii="Georgia" w:hAnsi="Georgia"/>
          <w:i/>
          <w:sz w:val="24"/>
          <w:szCs w:val="24"/>
          <w:lang w:val="es-ES"/>
        </w:rPr>
        <w:t>A</w:t>
      </w:r>
      <w:r w:rsidRPr="003A174E">
        <w:rPr>
          <w:rFonts w:ascii="Georgia" w:hAnsi="Georgia"/>
          <w:i/>
          <w:sz w:val="24"/>
          <w:szCs w:val="24"/>
        </w:rPr>
        <w:t xml:space="preserve">diciónese el siguiente artículo </w:t>
      </w:r>
      <w:r w:rsidRPr="003A174E">
        <w:rPr>
          <w:rFonts w:ascii="Georgia" w:hAnsi="Georgia"/>
          <w:i/>
          <w:sz w:val="24"/>
          <w:szCs w:val="24"/>
          <w:lang w:val="es-CO"/>
        </w:rPr>
        <w:t>al Estatuto Tributario,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ARTÍCULO 257-1. BECAS POR IMPUESTOS. Las universidades públicas o privadas contribuyentes del impuesto sobre la renta y complementarios podrán celebrar convenios con Coldeportes para asignar becas de estudio y manutención a deportistas talento o reserva deportiva, por las que recibirán a cambio títulos negociables para el pago del impuesto sobre la renta.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Coldeportes reglamentará en un plazo no mayor a seis (6) meses de la expedición de la presente ley el mecanismo de selección, evaluación y seguimiento de los deportistas beneficiados, así como los criterios de inclusión y de exclusión del programa y los criterios técnico-deportivos aplicables para el concepto de manutención.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eastAsia="es-CO"/>
        </w:rPr>
      </w:pPr>
      <w:r w:rsidRPr="003A174E">
        <w:rPr>
          <w:rFonts w:ascii="Georgia" w:hAnsi="Georgia"/>
          <w:i/>
          <w:sz w:val="24"/>
          <w:szCs w:val="24"/>
          <w:lang w:val="es-CO"/>
        </w:rPr>
        <w:t>Lo</w:t>
      </w:r>
      <w:r w:rsidRPr="003A174E">
        <w:rPr>
          <w:rFonts w:ascii="Georgia" w:hAnsi="Georgia"/>
          <w:i/>
          <w:sz w:val="24"/>
          <w:szCs w:val="24"/>
          <w:lang w:eastAsia="es-CO"/>
        </w:rPr>
        <w:t>s descuentos de los que trata este artículo y en su conjunto los que tratan los artículos 255, 256 y 257 del Estatuto Tributario no podrán exceder en un 30% del impuesto sobre la renta a cargo del contribuyente en el respectivo año gravable.</w:t>
      </w:r>
    </w:p>
    <w:p w:rsidR="00EC45FF" w:rsidRPr="003A174E" w:rsidRDefault="00EC45FF" w:rsidP="00EC45FF">
      <w:pPr>
        <w:spacing w:afterLines="20" w:after="48" w:line="240" w:lineRule="auto"/>
        <w:jc w:val="both"/>
        <w:rPr>
          <w:rFonts w:ascii="Georgia" w:hAnsi="Georgia"/>
          <w:i/>
          <w:sz w:val="24"/>
          <w:szCs w:val="24"/>
          <w:lang w:eastAsia="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2</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 xml:space="preserve"> EQUIDAD EN EL TRABAJO</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197</w:t>
      </w:r>
      <w:r w:rsidRPr="003A174E">
        <w:rPr>
          <w:rFonts w:ascii="Georgia" w:hAnsi="Georgia"/>
          <w:b/>
          <w:bCs/>
          <w:i/>
          <w:sz w:val="24"/>
          <w:szCs w:val="24"/>
          <w:lang w:val="es-CO"/>
        </w:rPr>
        <w:t>°. PRÁCTICAS LABORALES</w:t>
      </w:r>
      <w:r w:rsidRPr="003A174E">
        <w:rPr>
          <w:rFonts w:ascii="Georgia" w:hAnsi="Georgia"/>
          <w:i/>
          <w:sz w:val="24"/>
          <w:szCs w:val="24"/>
          <w:lang w:val="es-CO"/>
        </w:rPr>
        <w:t>. Además de lo previsto en el artículo 15 de la Ley 1780 de 2016, las prácticas laborales podrán desarrollarse por estudiantes de educación superior de posgrado, de educación para el trabajo y desarrollo humano, de formación profesional integral del SENA, así como de toda la oferta de formación por competencias.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PRIMERO. </w:t>
      </w:r>
      <w:r w:rsidRPr="003A174E">
        <w:rPr>
          <w:rFonts w:ascii="Georgia" w:hAnsi="Georgia"/>
          <w:i/>
          <w:sz w:val="24"/>
          <w:szCs w:val="24"/>
          <w:lang w:val="es-CO"/>
        </w:rPr>
        <w:t>El tiempo de la práctica laboral que el estudiante realice para optar a su título de profesional, tecnológico o técnico cuenta como experiencia profesional, sin perjuicio de las disposiciones vigentes en la materia.</w:t>
      </w:r>
    </w:p>
    <w:p w:rsidR="00EC45FF" w:rsidRPr="003A174E" w:rsidRDefault="00EC45FF" w:rsidP="00EC45FF">
      <w:pPr>
        <w:pStyle w:val="NormalWeb"/>
        <w:spacing w:before="0" w:beforeAutospacing="0" w:afterLines="20" w:after="48" w:afterAutospacing="0"/>
        <w:jc w:val="both"/>
        <w:rPr>
          <w:rFonts w:ascii="Georgia" w:eastAsiaTheme="minorEastAsia" w:hAnsi="Georgia" w:cs="Arial"/>
          <w:b/>
          <w:i/>
          <w:kern w:val="24"/>
        </w:rPr>
      </w:pP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r w:rsidRPr="003A174E">
        <w:rPr>
          <w:rFonts w:ascii="Georgia" w:eastAsiaTheme="minorEastAsia" w:hAnsi="Georgia" w:cs="Arial"/>
          <w:b/>
          <w:i/>
          <w:kern w:val="24"/>
        </w:rPr>
        <w:t>PARÁGRAFO SEGUNDO.</w:t>
      </w:r>
      <w:r w:rsidRPr="003A174E">
        <w:rPr>
          <w:rFonts w:ascii="Georgia" w:eastAsiaTheme="minorEastAsia" w:hAnsi="Georgia" w:cs="Arial"/>
          <w:i/>
          <w:kern w:val="24"/>
        </w:rPr>
        <w:t xml:space="preserve"> Las prácticas laborales realizadas durante los veinticuatro (24) meses anteriores a la entrada en vigencia de la presente Ley, serán tenidas en cuenta al momento de contabilizar el tiempo de experiencia profesional.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198</w:t>
      </w:r>
      <w:r w:rsidRPr="003A174E">
        <w:rPr>
          <w:rFonts w:ascii="Georgia" w:hAnsi="Georgia"/>
          <w:b/>
          <w:i/>
          <w:sz w:val="24"/>
          <w:szCs w:val="24"/>
          <w:lang w:val="es-CO"/>
        </w:rPr>
        <w:t>°. PISO DE PROTECCIÓN SOCIAL PARA PERSONAS CON INGRESOS INFERIORES A UN SALARIO MÍNIMO.</w:t>
      </w:r>
      <w:r w:rsidRPr="003A174E">
        <w:rPr>
          <w:rFonts w:ascii="Georgia" w:hAnsi="Georgia"/>
          <w:i/>
          <w:sz w:val="24"/>
          <w:szCs w:val="24"/>
          <w:lang w:val="es-CO"/>
        </w:rPr>
        <w:t xml:space="preserve"> Las personas que tengan relación contractual laboral o por prestación de servicios, por tiempo parcial y que en virtud de ello perciban un ingreso mensual inferior a un (1) Salario Mínimo Mensual Legal Vigente - SMLMV deberán vincularse al Piso de Protección Social que estará integrado por: i) el Régimen Subsidiado del Sistema General de Seguridad en Salud,  ii) el Servicio Social Complementario de Beneficios Económicos Periódicos - BEPS como mecanismo de protección en la vejez y iii) el Seguro Inclusivo que amparará al trabajador de los riesgos derivados de la actividad laboral y de las enfermedades cubiertas por BEPS.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En estos eventos el aporte al programa de los Beneficios Económico Periódicos – BEPS deberá ser asumido enteramente por el empleador o el contratante y corresponderá al 15% del ingreso mensual del trabajador o contratista. De este monto se destinará el 1% para financiar el Fondo de Riesgos Laborales, con el fin de atender el pago de la prima del Seguro Inclusivo.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Sin perjuicio de lo anterior, las personas que no tengan una vinculación laboral o no hayan suscrito un contrato de 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En ningún caso el ahorro en el mecanismo de los Beneficios Económicos Periódicos podrá ser inferior al tope mínimo establecido para ese Servicio Social Complementario.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 Gobierno nacional reglamentará la materia; así mismo podrá establecer mecanismos para que los vinculados al programa BEPS, realicen ahorros en este servicio social complementario de forma conjunta con la adquisición de bienes y servicios</w:t>
      </w:r>
      <w:r>
        <w:rPr>
          <w:rFonts w:ascii="Georgia" w:hAnsi="Georgia"/>
          <w:i/>
          <w:sz w:val="24"/>
          <w:szCs w:val="24"/>
          <w:lang w:val="es-CO"/>
        </w:rPr>
        <w:t>, y para que los trabajadores dependientes cobijados por el presente artículo tengan acceso al sistema de subsidio familiar.</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Los empleadores o contratantes que a la entrada en vigencia de la presente Ley cuenten con trabajadores o contratistas afiliados al sistema de seguridad social en su componente contributivo, y que con el propósito de obtener provecho de la reducción de sus aportes en materia de seguridad social desmejoren las condiciones económicas de dichos trabajadores o contratistas mediante la implementación de uno o varios actos o negocios jurídicos artificiosos que conlleve a su afiliación al piso mínimo de protección social, independientemente de cualquier intención subjetiva adicional, serán objeto de procesos de fiscalización preferente en los que podrán ser sancionados por la Unidad de Gestión de Pensiones y Parafiscales - UGPP por no realizar en debida forma los aportes a seguridad social que le correspondan, una vez surtido el debido proceso y ejercido el derecho a la defensa a que haya lugar.</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Una vez finalizado el periodo de ahorro en el mecanismo de Beneficios Económicos Periódicos – BEPS, el ahorrador tendrá derecho a elegir si recibe la anualidad vitalicia o la devolución del valor ahorrado, caso en el cual no habrá lugar al pago del incentivo periódico, conforme a la normatividad vigente.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 xml:space="preserve">ARTÍCULO </w:t>
      </w:r>
      <w:r>
        <w:rPr>
          <w:rFonts w:ascii="Georgia" w:hAnsi="Georgia"/>
          <w:b/>
          <w:i/>
          <w:sz w:val="24"/>
          <w:szCs w:val="24"/>
          <w:lang w:val="es-CO"/>
        </w:rPr>
        <w:t>199</w:t>
      </w:r>
      <w:r w:rsidRPr="003A174E">
        <w:rPr>
          <w:rFonts w:ascii="Georgia" w:hAnsi="Georgia"/>
          <w:b/>
          <w:i/>
          <w:sz w:val="24"/>
          <w:szCs w:val="24"/>
          <w:lang w:val="es-CO"/>
        </w:rPr>
        <w:t>°. SISTEMA NACIONAL DE CUALIFICACIONES.</w:t>
      </w:r>
      <w:r w:rsidRPr="003A174E">
        <w:rPr>
          <w:rFonts w:ascii="Georgia" w:hAnsi="Georgia"/>
          <w:i/>
          <w:sz w:val="24"/>
          <w:szCs w:val="24"/>
          <w:lang w:val="es-CO"/>
        </w:rPr>
        <w:t xml:space="preserve"> Créase el Sistema Nacional de Cualificaciones -.SNC como un conjunto de políticas, instrumentos, componentes y procesos necesarios para alinear la educación y formación a las necesidades sociales y productivas del país y que promueve el reconocimiento de aprendizajes, el desarrollo personal y profesional de los ciudadanos, la inserción o reinserción laboral y el desarrollo productivo del país.  Son componentes del SNC: el Marco Nacional de Cualificaciones - MNC, los subsistemas de aseguramiento de la calidad de la educación y la formación, de normalización de competencias y de evaluación y certificación de competencias, el esquema de movilidad educativa y formativa, así como la plataforma de información del SNC.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 crea el Marco Nacional de Cualificaciones - MNC, para clasificar y estructurar las cualificaciones en un esquema de ocho (8) niveles ordenados y expresados en términos de conocimientos, destrezas y aptitudes, de acuerdo con la secuencialidad y complejidad de los aprendizajes que logran las personas en las diferentes vías de cualificación.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Se crea el Esquema de Movilidad Educativa y Formativa, para facilitar la movilidad de las personas entre las diferentes vías de cualificación que son la educativa, la formación para el trabajo y el reconocimiento de aprendizajes previos para la certificación de competencias, con el fin de promover las rutas de aprendizaje, las relaciones con el sector productivo y el aprendizaje a lo largo de la vida.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Como una vía de cualificación dentro del Sistema Nacional de Cualificaciones, se crea el Subsistema de Formación para el Trabajo. Esta formación se estructurará en diversos niveles de complejidad, desde los iniciales hasta los más avanzados, de acuerdo con las necesidades del sector productivo. Sus oferentes son el Servicio Nacional de Aprendizaje -  SENA, las Instituciones de Educación para el Trabajo y Desarrollo Humano –ETDH- y las Instituciones de Educación Superior con oferta de formación para el trabajo que formen por competencias y cumplan los requisitos y mecanismos que para tal fin se establezcan.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El Gobierno nacional, con el liderazgo del Ministerio de Educación Nacional y del Ministerio del Trabajo, establecerá la estructura, las condiciones y mecanismos del Subsistema de formación para el trabajo y de sus procesos de aseguramiento de calidad. Para ello, se definirán las competencias de cada uno de estos dos ministerios. El Ministerio del Trabajo reglamentará la oferta y los niveles de la ETDH y el SENA en lo relacionado con la formación para el trabajo.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Los programas de formación para el trabajo por competencias serán estructurados con base en el subsistema de normalización de competencias y el Marco Nacional de Cualificaciones.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Las condiciones y mecanismos para la acreditación de las entidades públicas certificadoras de competencias laborales, serán reglamentadas por el Ministerio del Trabajo.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El Gobierno nacional reglamentará lo dispuesto en 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200</w:t>
      </w:r>
      <w:r w:rsidRPr="003A174E">
        <w:rPr>
          <w:rFonts w:ascii="Georgia" w:hAnsi="Georgia"/>
          <w:b/>
          <w:i/>
          <w:sz w:val="24"/>
          <w:szCs w:val="24"/>
          <w:lang w:val="es-CO"/>
        </w:rPr>
        <w:t>º. INCLUSIÓN LABORAL.</w:t>
      </w:r>
      <w:r w:rsidRPr="003A174E">
        <w:rPr>
          <w:rFonts w:ascii="Georgia" w:hAnsi="Georgia"/>
          <w:i/>
          <w:sz w:val="24"/>
          <w:szCs w:val="24"/>
          <w:lang w:val="es-CO"/>
        </w:rPr>
        <w:t xml:space="preserve"> Todos los mecanismos, acciones y servicios que promuevan la inclusión laboral deberán implementarse a través de la Red de Prestadores del Servicio Público de Empleo. El Gobierno nacional definirá los servicios básicos y especializados de gestión y colocación de empleo y fijará las reglas para la prestación de estos servicios, facilitando el acceso al empleo a grupos poblacionales que presenten barreras para la empleabilidad.</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Las personas jurídicas autorizadas que presten servicios de gestión y colocación de empleo de que trata el artículo 30 de la Ley 1636 de 2013, deberán cooperar y articularse para garantizar el acceso a todas las vacantes desde cada uno de los prestadores del Servicio Público de Empleo, en el marco de la Red de Prestadores del Servicio Público de Empleo, de acuerdo con los lineamientos expedidos por el Ministerio del Trabajo.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Pr>
          <w:rFonts w:ascii="Georgia" w:hAnsi="Georgia"/>
          <w:b/>
          <w:i/>
          <w:sz w:val="24"/>
          <w:szCs w:val="24"/>
          <w:lang w:val="es-CO"/>
        </w:rPr>
        <w:t>ARTÍCULO 201</w:t>
      </w:r>
      <w:r w:rsidRPr="003A174E">
        <w:rPr>
          <w:rFonts w:ascii="Georgia" w:hAnsi="Georgia"/>
          <w:b/>
          <w:i/>
          <w:sz w:val="24"/>
          <w:szCs w:val="24"/>
          <w:lang w:val="es-CO"/>
        </w:rPr>
        <w:t xml:space="preserve">º. GENERACIÓN DE EMPLEO PARA LA POBLACIÓN JOVEN DEL PAÍS. </w:t>
      </w:r>
      <w:r w:rsidRPr="003A174E">
        <w:rPr>
          <w:rFonts w:ascii="Georgia" w:hAnsi="Georgia"/>
          <w:i/>
          <w:sz w:val="24"/>
          <w:szCs w:val="24"/>
          <w:lang w:val="es-CO"/>
        </w:rPr>
        <w:t>Con el fin de generar oportunidades de empleo para la población joven del país y permitir superar las barreras de empleabilidad de este grupo poblacional, las entidades públicas darán prioridad a la vinculación de jóvenes entre 18 y 28 años, para lo cual deberán garantizar cuando adelanten modificaciones a su plana de personal,  que el diez por ciento (10%) de los nuevos empleos no requieran experiencia profesional, con el fin de que sean provistos con jóvenes egresados de programas técnicos, tecnológicos y de pregrado. Para la creación de nuevos empleos de carácter permanente del nivel profesional, no se exigirá experiencia profesional hasta el grado once (11) y se aplicarán las equivalencias respectivas.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Las entidades públicas deberán adecuar sus manuales de funciones y competencias laborales para permitir el nombramiento de jóvenes entre los 18 y 28 años graduados y que no tengan experiencia, o para determinar las equivalencias que corresponda, siempre y cuando cumplan con los requisitos del cargo.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Las entidades y organismos que creen empleos de carácter temporal deberán garantizar que el 10% de estos empleos sean asignados para jóvenes entre los 18 y 28 años.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 xml:space="preserve">PARÁGRAFO TERCERO. </w:t>
      </w:r>
      <w:r w:rsidRPr="003A174E">
        <w:rPr>
          <w:rFonts w:ascii="Georgia" w:hAnsi="Georgia"/>
          <w:i/>
          <w:sz w:val="24"/>
          <w:szCs w:val="24"/>
          <w:lang w:val="es-CO"/>
        </w:rPr>
        <w:t>Cuando las entidades públicas vinculen provisionales a sus plantas de personal deberán dar prioridad a los jóvenes entre los 18 y 28 años para dicha vinculación.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202</w:t>
      </w:r>
      <w:r w:rsidRPr="003A174E">
        <w:rPr>
          <w:rFonts w:ascii="Georgia" w:hAnsi="Georgia"/>
          <w:b/>
          <w:i/>
          <w:sz w:val="24"/>
          <w:szCs w:val="24"/>
          <w:lang w:val="es-CO"/>
        </w:rPr>
        <w:t xml:space="preserve">º. INTERVENCIÓN EN ACTIVIDADES FINANCIERA Y ASEGURADORA. </w:t>
      </w:r>
      <w:r w:rsidRPr="003A174E">
        <w:rPr>
          <w:rFonts w:ascii="Georgia" w:hAnsi="Georgia"/>
          <w:i/>
          <w:sz w:val="24"/>
          <w:szCs w:val="24"/>
          <w:lang w:val="es-CO"/>
        </w:rPr>
        <w:t>Adicionar un literal r) al artículo 46 del Estatuto Orgánico del Sistema Financiero el cual quedará de la siguiente manera: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r) Garantizar la suficiencia del Sistema General de Riesgos Laborales, a través de la actualización de las actividades económicas y los montos de cotización aplicables a estas.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NormalWeb"/>
        <w:spacing w:before="0" w:beforeAutospacing="0" w:afterLines="20" w:after="48" w:afterAutospacing="0"/>
        <w:jc w:val="both"/>
        <w:rPr>
          <w:rFonts w:ascii="Georgia" w:eastAsia="Calibri" w:hAnsi="Georgia" w:cs="Arial"/>
          <w:bCs/>
          <w:i/>
          <w:kern w:val="24"/>
        </w:rPr>
      </w:pPr>
      <w:r>
        <w:rPr>
          <w:rFonts w:ascii="Georgia" w:eastAsiaTheme="minorEastAsia" w:hAnsi="Georgia" w:cs="Arial"/>
          <w:b/>
          <w:bCs/>
          <w:i/>
          <w:kern w:val="24"/>
        </w:rPr>
        <w:t>ARTÍCULO 203</w:t>
      </w:r>
      <w:r w:rsidRPr="003A174E">
        <w:rPr>
          <w:rFonts w:ascii="Georgia" w:eastAsiaTheme="minorEastAsia" w:hAnsi="Georgia" w:cs="Arial"/>
          <w:b/>
          <w:bCs/>
          <w:i/>
          <w:kern w:val="24"/>
        </w:rPr>
        <w:t>º. PROMOCIÓN DE LOS BENEFICIOS ECONÓMICOS PERIÓDICOS.</w:t>
      </w:r>
      <w:r w:rsidRPr="003A174E">
        <w:rPr>
          <w:rFonts w:ascii="Georgia" w:eastAsiaTheme="minorEastAsia" w:hAnsi="Georgia" w:cs="Arial"/>
          <w:i/>
          <w:kern w:val="24"/>
        </w:rPr>
        <w:t xml:space="preserve"> En el evento en que los afiliados al Sistema General de Pensiones obtengan como prestación sustituta una devolución de saldos o indemnización sustitutiva de vejez, estos recursos serán trasladados al mecanismo de los Beneficios Económicos Periódicos para el reconocimiento de una anualidad vitalicia en las condiciones legales vigentes, excepto en el evento en que el afiliado manifieste su decisión de recibir dicha prestación, dentro de los cuatro (4)</w:t>
      </w:r>
      <w:r w:rsidRPr="003A174E">
        <w:rPr>
          <w:rFonts w:ascii="Georgia" w:eastAsiaTheme="minorEastAsia" w:hAnsi="Georgia" w:cs="Arial"/>
          <w:bCs/>
          <w:i/>
          <w:kern w:val="24"/>
        </w:rPr>
        <w:t xml:space="preserve"> meses</w:t>
      </w:r>
      <w:r w:rsidRPr="003A174E">
        <w:rPr>
          <w:rFonts w:ascii="Georgia" w:eastAsiaTheme="minorEastAsia" w:hAnsi="Georgia" w:cs="Arial"/>
          <w:i/>
          <w:kern w:val="24"/>
        </w:rPr>
        <w:t xml:space="preserve"> siguientes a la notificación</w:t>
      </w:r>
      <w:r w:rsidRPr="003A174E">
        <w:rPr>
          <w:rFonts w:ascii="Georgia" w:eastAsiaTheme="minorEastAsia" w:hAnsi="Georgia" w:cs="Arial"/>
          <w:bCs/>
          <w:i/>
          <w:kern w:val="24"/>
        </w:rPr>
        <w:t xml:space="preserve"> personal </w:t>
      </w:r>
      <w:r w:rsidRPr="003A174E">
        <w:rPr>
          <w:rFonts w:ascii="Georgia" w:eastAsiaTheme="minorEastAsia" w:hAnsi="Georgia" w:cs="Arial"/>
          <w:i/>
          <w:kern w:val="24"/>
        </w:rPr>
        <w:t xml:space="preserve">del documento o acto que la define. Corresponderá a Colpensiones con antelación al reconcomiendo de la indemnización sustitutiva o la devolución de saldos en el Régimen de Ahorro Individual, brindar de manera obligatoria a los afiliados, asesoría respecto de los Beneficios Económicos Periódicos. </w:t>
      </w:r>
      <w:r w:rsidRPr="003A174E">
        <w:rPr>
          <w:rFonts w:ascii="Georgia" w:eastAsia="Calibri" w:hAnsi="Georgia" w:cs="Arial"/>
          <w:i/>
          <w:kern w:val="24"/>
        </w:rPr>
        <w:t xml:space="preserve">El Gobierno nacional reglamentará la materia y las especificaciones para la </w:t>
      </w:r>
      <w:r w:rsidRPr="003A174E">
        <w:rPr>
          <w:rFonts w:ascii="Georgia" w:eastAsia="Calibri" w:hAnsi="Georgia" w:cs="Arial"/>
          <w:bCs/>
          <w:i/>
          <w:kern w:val="24"/>
        </w:rPr>
        <w:t>entrega de información por parte de las administradoras de fondos de pensiones y de asesoría y asistencia técnica al afiliado.</w:t>
      </w:r>
    </w:p>
    <w:p w:rsidR="00EC45FF" w:rsidRPr="003A174E" w:rsidRDefault="00EC45FF" w:rsidP="00EC45FF">
      <w:pPr>
        <w:pStyle w:val="NormalWeb"/>
        <w:spacing w:before="0" w:beforeAutospacing="0" w:afterLines="20" w:after="48" w:afterAutospacing="0"/>
        <w:jc w:val="both"/>
        <w:rPr>
          <w:rFonts w:ascii="Georgia" w:eastAsia="Calibri" w:hAnsi="Georgia" w:cs="Arial"/>
          <w:bCs/>
          <w:i/>
          <w:kern w:val="24"/>
        </w:rPr>
      </w:pPr>
    </w:p>
    <w:p w:rsidR="00EC45FF" w:rsidRPr="003A174E" w:rsidRDefault="00EC45FF" w:rsidP="00EC45FF">
      <w:pPr>
        <w:pStyle w:val="NormalWeb"/>
        <w:spacing w:before="0" w:beforeAutospacing="0" w:afterLines="20" w:after="48" w:afterAutospacing="0"/>
        <w:jc w:val="both"/>
        <w:rPr>
          <w:rFonts w:ascii="Georgia" w:eastAsiaTheme="minorEastAsia" w:hAnsi="Georgia" w:cs="Arial"/>
          <w:bCs/>
          <w:i/>
          <w:kern w:val="24"/>
        </w:rPr>
      </w:pPr>
      <w:r w:rsidRPr="003A174E">
        <w:rPr>
          <w:rFonts w:ascii="Georgia" w:eastAsia="Calibri" w:hAnsi="Georgia" w:cs="Arial"/>
          <w:b/>
          <w:bCs/>
          <w:i/>
          <w:kern w:val="24"/>
        </w:rPr>
        <w:t xml:space="preserve">PARÁGRAFO. </w:t>
      </w:r>
      <w:r w:rsidRPr="003A174E">
        <w:rPr>
          <w:rFonts w:ascii="Georgia" w:hAnsi="Georgia" w:cs="Arial"/>
          <w:i/>
        </w:rPr>
        <w:t>Los colombianos que residen en el exterior y no estén cotizando al Sistema de Seguridad Social Colombiano pueden voluntariamente vincularse al Programa de Beneficios Económicos Periódicos – BEPS El Gobierno nacional reglamentará el procedimiento administrativo para hacer efectiva la participación al programa.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204</w:t>
      </w:r>
      <w:r w:rsidRPr="003A174E">
        <w:rPr>
          <w:rFonts w:ascii="Georgia" w:hAnsi="Georgia"/>
          <w:b/>
          <w:bCs/>
          <w:i/>
          <w:sz w:val="24"/>
          <w:szCs w:val="24"/>
          <w:lang w:val="es-CO"/>
        </w:rPr>
        <w:t>º. PAGO DE INCAPACIDADES DE ORIGEN COMÚN SUPERIORIES A 180 DÍAS</w:t>
      </w:r>
      <w:r w:rsidRPr="003A174E">
        <w:rPr>
          <w:rFonts w:ascii="Georgia" w:hAnsi="Georgia"/>
          <w:i/>
          <w:sz w:val="24"/>
          <w:szCs w:val="24"/>
          <w:lang w:val="es-CO"/>
        </w:rPr>
        <w:t xml:space="preserve">. Las prestaciones económicas como consecuencia de incapacidades prolongadas y continuas por enfermedades o accidentes de origen común a cargo de las entidades que hacen parte del Sistema de Seguridad Social Integral son de carácter temporal y su finalidad es proveer parcialmente de ingresos a las personas que se encuentran en estado de incapacidad, sin tener como propósito suplir de manera indefinida los ingresos de un trabajador.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Administradora de los Recursos del Sistema General de Seguridad Social en Salud - ADRES efectuará el reconocimiento y pago a las Entidades Promotoras de Salud por concepto de incapacidades por enfermedad o accidente de origen común </w:t>
      </w:r>
      <w:r w:rsidRPr="003A174E">
        <w:rPr>
          <w:rFonts w:ascii="Georgia" w:hAnsi="Georgia"/>
          <w:i/>
          <w:sz w:val="24"/>
          <w:szCs w:val="24"/>
          <w:lang w:val="es-CO"/>
        </w:rPr>
        <w:lastRenderedPageBreak/>
        <w:t>que superen los quinientos cuarenta (540) días continuos o discontinuos y hasta un máximo de seiscientos treinta (630) días, de conformidad con lo señalado a continuación: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Cuando un trabajador se encuentre incapacitado por enfermedad o accidente de origen común y no tenga concepto favorable de rehabilitación y dicha incapacidad supere los ciento ochenta (180) días continuos, deberá ser sujeto obligatorio de calificación de pérdida de capacidad laboral, por parte COLPENSIONES o las Compañías de Seguros que asuman los riesgos de invalidez y muerte.  Estas entidades, dentro de los treinta (30) días hábiles siguientes a que hayan recibido el concepto desfavorable de recuperación deberán surtir el proceso de calificación de pérdida de capacidad laboral y notificar su resultado a la EPS.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Si como resultado de la calificación se establece una pérdida de capacidad laboral inferior al 50%, finalizará el pago de prestaciones económicas por parte del Sistema de Seguridad Social integral y el trabajador tendrá derecho a la reincorporación o reubicación laboral. De no ser posible la reubicación laboral en la empresa en donde trabaja, el Ministerio de Trabajo coordinará a nivel nacional una bolsa de empleo con el propósito de lograr su reincorporación a la vida laboral.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Cuando un trabajador se encuentre incapacitado por enfermedad o accidente de origen común y tenga concepto favorable de rehabilitación, al día quinientos diez (510) de incapacidad la Administradora de Fondos de Pensiones o COLPENSIONES dará aviso a la EPS, de que no ha sido posible realizar la calificación en virtud del concepto favorable y que realizará el pago del subsidio de incapacidad hasta el día quinientos cuarenta (540).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 partir del día quinientos cuarenta y uno (541) la EPS podrá prorrogar el pago de incapacidades hasta por noventa (90) días adicionales (desde el día 541 al 630) con cargo al sistema de la salud, en los siguientes casos: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 Cuando en el curso de la enfermedad o lesión que originó la incapacidad temporal, habiéndose seguido con los protocolos y guías de atención y las recomendaciones del médico tratante, el paciente no haya tenido recuperación.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Cuando por enfermedades concomitantes se hayan presentado nuevas situaciones, que prolonguen el tiempo de recuperación del paciente.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Llegado el día seiscientos treinta (630) de incapacidad no se continuará el pago de ninguna prestación económica por parte del Sistema de Seguridad Social Integral, sin perjuicio de las prestaciones asistenciales necesarias para la rehabilitación del afiliado. Igualmente, el trabajador tendrá derecho a las medidas de reincorporación y reubicación laboral establecidas en la presente disposición.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lastRenderedPageBreak/>
        <w:t>PARÁGRAFO PRIMERO</w:t>
      </w:r>
      <w:r w:rsidRPr="003A174E">
        <w:rPr>
          <w:rFonts w:ascii="Georgia" w:hAnsi="Georgia"/>
          <w:i/>
          <w:sz w:val="24"/>
          <w:szCs w:val="24"/>
          <w:lang w:val="es-CO"/>
        </w:rPr>
        <w:t xml:space="preserve">. El auxilio de incapacidades o el subsidio equivalente será suspendido en los casos de fraude o abuso del derecho de acuerdo con la reglamentación que expida el Gobierno nacional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SEGUNDO.</w:t>
      </w:r>
      <w:r w:rsidRPr="003A174E">
        <w:rPr>
          <w:rFonts w:ascii="Georgia" w:hAnsi="Georgia"/>
          <w:i/>
          <w:sz w:val="24"/>
          <w:szCs w:val="24"/>
          <w:lang w:val="es-CO"/>
        </w:rPr>
        <w:t xml:space="preserve"> En ningún caso el sistema de salud asumirá incapacidades superiores a quinientos cuarenta (540) días de personas que no se encuentran afiliadas al Sistema General de Pensiones.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TERCERO.</w:t>
      </w:r>
      <w:r w:rsidRPr="003A174E">
        <w:rPr>
          <w:rFonts w:ascii="Georgia" w:hAnsi="Georgia"/>
          <w:i/>
          <w:sz w:val="24"/>
          <w:szCs w:val="24"/>
          <w:lang w:val="es-CO"/>
        </w:rPr>
        <w:t xml:space="preserve"> El Gobierno nacional reglamentará, entre otras cosas, el procedimiento de revisión periódica de la incapacidad por parte del cualquier actor del Sistema General de Seguridad Social, el momento de calificación definitiva, y las situaciones de abuso del derecho que generen la suspensión del pago de esas incapacidades.</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CUARTO. </w:t>
      </w:r>
      <w:r w:rsidRPr="003A174E">
        <w:rPr>
          <w:rFonts w:ascii="Georgia" w:hAnsi="Georgia"/>
          <w:i/>
          <w:sz w:val="24"/>
          <w:szCs w:val="24"/>
          <w:lang w:val="es-CO"/>
        </w:rPr>
        <w:t>Las entidades del Sistema General de Seguridad Social Integral, que tengan a su cargo el reconocimiento de las prestaciones económicas por incapacidad, el proceso de calificación de invalidez o el reconocimiento de pensiones de invalidez, podrán acceder a la historia clínica de los afiliados con el fin de cumplir de manera eficiente sus funciones misionales como entes de la seguridad social, de acuerdo con la reglamentación que al respecto expida el Gobierno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205</w:t>
      </w:r>
      <w:r w:rsidRPr="003A174E">
        <w:rPr>
          <w:rFonts w:ascii="Georgia" w:hAnsi="Georgia"/>
          <w:b/>
          <w:i/>
          <w:sz w:val="24"/>
          <w:szCs w:val="24"/>
          <w:lang w:val="es-CO"/>
        </w:rPr>
        <w:t xml:space="preserve">º. FINANCIACIÓN DE OBLIGACIONES PENSIONALES CON RECURSOS DEL FONPET. </w:t>
      </w:r>
      <w:r w:rsidRPr="003A174E">
        <w:rPr>
          <w:rFonts w:ascii="Georgia" w:hAnsi="Georgia"/>
          <w:i/>
          <w:sz w:val="24"/>
          <w:szCs w:val="24"/>
          <w:lang w:val="es-CO"/>
        </w:rPr>
        <w:t>Adicional a lo establecido en las normas vigentes, con cargo a los recursos del Fondo Nacional de Pensiones de las Entidades Territoriales - FONPET las entidades territoriales podrán pagar las siguientes obligaciones: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La deuda con el Fondo Nacional de Prestaciones Sociales del Magisterio - FOMAG por concepto del pasivo pensional corriente del Sector Educación.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Las cuotas partes pensionales corrientes de la vigencia en curso, a las entidades públicas acreedoras.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Las mesadas pensionales corrientes de la vigencia a cargo de la administración central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i/>
          <w:sz w:val="24"/>
          <w:szCs w:val="24"/>
        </w:rPr>
      </w:pPr>
      <w:r w:rsidRPr="003A174E">
        <w:rPr>
          <w:rFonts w:ascii="Georgia" w:hAnsi="Georgia"/>
          <w:i/>
          <w:sz w:val="24"/>
          <w:szCs w:val="24"/>
        </w:rPr>
        <w:t>Para el pago de las obligaciones a que se refiere el numeral 1, el FOMAG deberá entregar a cada entidad territorial el detalle de la deuda, identificando los conceptos, vigencias y valores, acompañándolo de los respectivos soportes, en los casos en que la ley lo exija.  Igualmente, el FOMAG deberá entregar a cada entidad territorial la discriminación de cada uno los pagos recibidos, con la imputación y/o aplicación realizada sobre la deuda.</w:t>
      </w:r>
    </w:p>
    <w:p w:rsidR="00EC45FF" w:rsidRPr="003A174E" w:rsidRDefault="00EC45FF" w:rsidP="00EC45FF">
      <w:pPr>
        <w:spacing w:after="0" w:line="240" w:lineRule="auto"/>
        <w:jc w:val="both"/>
        <w:rPr>
          <w:rFonts w:ascii="Georgia" w:hAnsi="Georgia"/>
          <w:i/>
          <w:sz w:val="24"/>
          <w:szCs w:val="24"/>
        </w:rPr>
      </w:pPr>
    </w:p>
    <w:p w:rsidR="00EC45FF" w:rsidRPr="003A174E" w:rsidRDefault="00EC45FF" w:rsidP="00EC45FF">
      <w:pPr>
        <w:spacing w:after="0" w:line="240" w:lineRule="auto"/>
        <w:jc w:val="both"/>
        <w:rPr>
          <w:rFonts w:ascii="Georgia" w:hAnsi="Georgia"/>
          <w:i/>
          <w:sz w:val="24"/>
          <w:szCs w:val="24"/>
        </w:rPr>
      </w:pPr>
      <w:r w:rsidRPr="003A174E">
        <w:rPr>
          <w:rFonts w:ascii="Georgia" w:hAnsi="Georgia"/>
          <w:i/>
          <w:sz w:val="24"/>
          <w:szCs w:val="24"/>
        </w:rPr>
        <w:lastRenderedPageBreak/>
        <w:t>Para el pago del pasivo pensional del sector educación con recursos del FONPET, el Ministerio de Hacienda y Crédito Público</w:t>
      </w:r>
      <w:r>
        <w:rPr>
          <w:rFonts w:ascii="Georgia" w:hAnsi="Georgia"/>
          <w:i/>
          <w:sz w:val="24"/>
          <w:szCs w:val="24"/>
          <w:lang w:val="es-CO"/>
        </w:rPr>
        <w:t>, a través de la</w:t>
      </w:r>
      <w:r w:rsidRPr="003A174E">
        <w:rPr>
          <w:rFonts w:ascii="Georgia" w:hAnsi="Georgia"/>
          <w:i/>
          <w:sz w:val="24"/>
          <w:szCs w:val="24"/>
        </w:rPr>
        <w:t xml:space="preserve"> Dirección</w:t>
      </w:r>
      <w:r>
        <w:rPr>
          <w:rFonts w:ascii="Georgia" w:hAnsi="Georgia"/>
          <w:i/>
          <w:sz w:val="24"/>
          <w:szCs w:val="24"/>
          <w:lang w:val="es-CO"/>
        </w:rPr>
        <w:t xml:space="preserve"> </w:t>
      </w:r>
      <w:r w:rsidRPr="003A174E">
        <w:rPr>
          <w:rFonts w:ascii="Georgia" w:hAnsi="Georgia"/>
          <w:i/>
          <w:sz w:val="24"/>
          <w:szCs w:val="24"/>
        </w:rPr>
        <w:t>de Regulación Económica de la Seguridad Social</w:t>
      </w:r>
      <w:r>
        <w:rPr>
          <w:rFonts w:ascii="Georgia" w:hAnsi="Georgia"/>
          <w:i/>
          <w:sz w:val="24"/>
          <w:szCs w:val="24"/>
          <w:lang w:val="es-CO"/>
        </w:rPr>
        <w:t>,</w:t>
      </w:r>
      <w:r w:rsidRPr="003A174E">
        <w:rPr>
          <w:rFonts w:ascii="Georgia" w:hAnsi="Georgia"/>
          <w:i/>
          <w:sz w:val="24"/>
          <w:szCs w:val="24"/>
        </w:rPr>
        <w:t xml:space="preserve"> efectuará el Cálculo Actuarial, haciendo uso de la plataforma Pasivocol. Para tal fin, el Ministerio de Hacienda y Crédito Público determinará las instrucciones operativas para el suministro de la información por parte del FOMAG y las entidades territoriales.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determinar la cobertura de los pasivos pensionales, las entidades territoriales podrán girar voluntariamente al FONPET otros recursos que acumulen para el pago de su pasivo pensional. El Ministerio de Hacienda y Crédito Público determinará las instrucciones operativas para el recibo de estos recursos que tendrán las mismas condiciones de administración existentes para la cuenta individual de la entidad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aporte la Nación al FONPET, y los que se encuentren pendientes por distribuir de la Nación, destinados a financiar obligaciones pensionales, se distribuirán entre todas las entidades territoriales que no hayan alcanzado el cubrimiento de su pasivo pensional.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territoriales que soliciten el retiro de recursos ahorrados en el FONPET, deberán cumplir con la obligación de suministrar la información requerida en el artículo 9° de la Ley 549 de 1999, de lo contrario el Fondo podrá no autorizar el retiro de los mismos.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i/>
          <w:sz w:val="24"/>
          <w:szCs w:val="24"/>
        </w:rPr>
      </w:pPr>
      <w:r w:rsidRPr="003A174E">
        <w:rPr>
          <w:rFonts w:ascii="Georgia" w:hAnsi="Georgia"/>
          <w:b/>
          <w:i/>
          <w:sz w:val="24"/>
          <w:szCs w:val="24"/>
          <w:lang w:val="es-CO"/>
        </w:rPr>
        <w:t xml:space="preserve">PARÁGRAFO. </w:t>
      </w:r>
      <w:r w:rsidRPr="003A174E">
        <w:rPr>
          <w:rFonts w:ascii="Georgia" w:hAnsi="Georgia"/>
          <w:i/>
          <w:sz w:val="24"/>
          <w:szCs w:val="24"/>
        </w:rPr>
        <w:t>Las entidades territoriales que no tengan obligaciones pensionales con el Sector Salud o que las tengan plenamente financiadas, podrán destinar los recursos excedentes acumulados en el Sector Salud de cualquiera de las fuentes de financiación, para el pago del pasivo pensional del sector general, si éste no se encuentra cubierto.</w:t>
      </w:r>
    </w:p>
    <w:p w:rsidR="00EC45FF" w:rsidRPr="003A174E" w:rsidRDefault="00EC45FF" w:rsidP="00EC45FF">
      <w:pPr>
        <w:spacing w:after="0"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206</w:t>
      </w:r>
      <w:r w:rsidRPr="003A174E">
        <w:rPr>
          <w:rFonts w:ascii="Georgia" w:hAnsi="Georgia"/>
          <w:b/>
          <w:i/>
          <w:sz w:val="24"/>
          <w:szCs w:val="24"/>
          <w:lang w:val="es-CO"/>
        </w:rPr>
        <w:t xml:space="preserve">°. TERMINACIÓN DEL PROCEDIMIENTO SANCIONATORIO LABORAL. </w:t>
      </w:r>
      <w:r w:rsidRPr="003A174E">
        <w:rPr>
          <w:rFonts w:ascii="Georgia" w:hAnsi="Georgia"/>
          <w:i/>
          <w:sz w:val="24"/>
          <w:szCs w:val="24"/>
          <w:lang w:val="es-CO"/>
        </w:rPr>
        <w:t>El Ministerio del Trabajo podrá dar por suspendido o terminado, mediante mutuo acuerdo, un procedimiento administrativo sancionatorio por violación de normas laborales, diferentes a las relativas a la formalización laboral. La terminación por mutuo acuerdo estará condicionada a que los investigados reconozcan el incumplimiento de las normas laborales o de seguridad social integral, y garanticen la implementación por parte de los empleadores investigados, de medidas dirigidas a corregir las causas por las cuales se dio inicio a la actuación administrativa.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 suspenderá el procedimiento cuando los investigados reconozcan el incumplimiento de las normas y se comprometan a implementar las medidas correctivas mediante un plan de mejoramiento que contenga plazos razonables, no superiores a un (1) año, el cual deberá ser aprobado por el Ministerio del Trabajo. Una vez se implemente el plan de mejoramiento en su totalidad, se dará por terminado el procedimiento.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Si la suspensión por mutuo acuerdo se suscribiere en la etapa de averiguación preliminar no habrá lugar a sanción alguna; si se suscribiera entre la formulación de cargos y la presentación de descargos, la sanción tendrá una rebaja de la mitad; y si se suscribiera entre el período probatorio y la presentación de alegatos, la sanción tendrá una rebaja de una tercera parte. Si no se diere cumplimiento al plan de mejoramiento, se levantará la suspensión y se continuará con las etapas restantes del procedimiento, sin que proceda reducción alguna en la sanción.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Gobierno nacional reglamentará lo atinente a lo estipulado en 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207</w:t>
      </w:r>
      <w:r w:rsidRPr="003A174E">
        <w:rPr>
          <w:rFonts w:ascii="Georgia" w:hAnsi="Georgia"/>
          <w:b/>
          <w:i/>
          <w:sz w:val="24"/>
          <w:szCs w:val="24"/>
          <w:lang w:val="es-CO"/>
        </w:rPr>
        <w:t>°. FONDO PARA EL FORTALECIMIENTO DE LA INSPECCIÓN, VIGILANCIA Y CONTROL DEL TRABAJO Y LA SEGURIDAD SOCIAL - FIVICOT.</w:t>
      </w:r>
      <w:r w:rsidRPr="003A174E">
        <w:rPr>
          <w:rFonts w:ascii="Georgia" w:hAnsi="Georgia"/>
          <w:i/>
          <w:sz w:val="24"/>
          <w:szCs w:val="24"/>
          <w:lang w:val="es-CO"/>
        </w:rPr>
        <w:t xml:space="preserve"> Créase el Fondo para el Fortalecimiento de la Inspección, Vigilancia, y Control del Trabajo y la Seguridad Social - FIVICOT, como una cuenta especial de la Nación, sin personería jurídica, adscrita al Ministerio del Trabajo, cuyos recursos se destinarán a fortalecer la Inspección, Vigilancia y Control del Trabajo y la Seguridad Social.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Fondo estará conformado por las multas que se impongan a partir del 1ro de enero de 2020, por la violación  de las disposiciones relativas a las condiciones de trabajo,  así como a la protección de los trabajadores en el ejercicio de su profesión y del derecho de libre asociación sindical. Las multas impuestas por el Ministerio del Trabajo en relación con el Sistema General de Riesgos Laborales, que hacen parte de la financiación del Fondo de Riesgos Laborales no pertenecerán a este fondo.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La función de cobro coactivo de las multas a las que hace referencia el presente artículo, le corresponderá a la Dirección de Inspección, Vigilancia, Control y Gestión Territorial del Ministerio del Trabajo, o a la dependencia que haga sus veces. El Gobierno nacional reglamentará lo dispuesto en 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208</w:t>
      </w:r>
      <w:r w:rsidRPr="003A174E">
        <w:rPr>
          <w:rFonts w:ascii="Georgia" w:hAnsi="Georgia"/>
          <w:b/>
          <w:bCs/>
          <w:i/>
          <w:sz w:val="24"/>
          <w:szCs w:val="24"/>
          <w:lang w:val="es-CO"/>
        </w:rPr>
        <w:t xml:space="preserve">°. OBJETO DEL FONDO DE RIESGOS LABORALES. </w:t>
      </w:r>
      <w:r w:rsidRPr="003A174E">
        <w:rPr>
          <w:rFonts w:ascii="Georgia" w:hAnsi="Georgia"/>
          <w:i/>
          <w:sz w:val="24"/>
          <w:szCs w:val="24"/>
          <w:lang w:val="es-CO"/>
        </w:rPr>
        <w:t>Adiciónese el literal i) al artículo 12 de la Ley 1562 de 2012, en los siguientes términos: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i/>
          <w:sz w:val="24"/>
          <w:szCs w:val="24"/>
          <w:lang w:val="es-CO"/>
        </w:rPr>
        <w:t xml:space="preserve">i) Compensar a las Administradoras de Riesgos Laborales que asuman el aseguramiento de riesgos con alta siniestralidad, alto costo operativo, o la combinación de ambos fenómenos, mediante una subcuenta de compensación que será financiada con el 50% del recaudo correspondiente a las cotizaciones a cargo de los empleadores </w:t>
      </w:r>
      <w:r w:rsidRPr="003A174E">
        <w:rPr>
          <w:rFonts w:ascii="Georgia" w:hAnsi="Georgia"/>
          <w:bCs/>
          <w:i/>
          <w:sz w:val="24"/>
          <w:szCs w:val="24"/>
          <w:lang w:val="es-CO"/>
        </w:rPr>
        <w:t>y trabajadores independientes establecido en el artículo 89 del Decreto Ley 1295 de 1994 y las normas que lo modifiquen o adicionen.</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lastRenderedPageBreak/>
        <w:t>ARTÍCULO 209</w:t>
      </w:r>
      <w:r w:rsidRPr="003A174E">
        <w:rPr>
          <w:rFonts w:ascii="Georgia" w:hAnsi="Georgia"/>
          <w:b/>
          <w:bCs/>
          <w:i/>
          <w:sz w:val="24"/>
          <w:szCs w:val="24"/>
          <w:lang w:val="es-CO"/>
        </w:rPr>
        <w:t xml:space="preserve">°. SERVICIOS DE PROMOCIÓN Y PREVENCIÓN. </w:t>
      </w:r>
      <w:r w:rsidRPr="003A174E">
        <w:rPr>
          <w:rFonts w:ascii="Georgia" w:hAnsi="Georgia"/>
          <w:i/>
          <w:sz w:val="24"/>
          <w:szCs w:val="24"/>
          <w:lang w:val="es-CO"/>
        </w:rPr>
        <w:t>Modifíquese</w:t>
      </w:r>
      <w:r w:rsidRPr="003A174E">
        <w:rPr>
          <w:rFonts w:ascii="Georgia" w:hAnsi="Georgia"/>
          <w:b/>
          <w:bCs/>
          <w:i/>
          <w:sz w:val="24"/>
          <w:szCs w:val="24"/>
          <w:lang w:val="es-CO"/>
        </w:rPr>
        <w:t xml:space="preserve"> </w:t>
      </w:r>
      <w:r w:rsidRPr="003A174E">
        <w:rPr>
          <w:rFonts w:ascii="Georgia" w:hAnsi="Georgia"/>
          <w:i/>
          <w:sz w:val="24"/>
          <w:szCs w:val="24"/>
          <w:lang w:val="es-CO"/>
        </w:rPr>
        <w:t>el segundo inciso del parágrafo 5 del artículo 11 de la Ley 1562 de 2012,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caso que se utilice algún intermediario las ARL podrán pagar las comisiones del ramo con cargo a las cotizaciones o primas, incluidas las de riesgos laborales, o con los rendimientos financieros de las inversiones de las reservas técnicas, siempre que hayan cumplido sus deberes propios derivados de la cobertura de las prestaciones del sistema, y los destine como parte de los gastos de administración. El Gobierno nacional, con base en estudios técnicos, determinará el valor máximo de estas comisiones.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3</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PARA LA PROSPERIDAD SOCIAL</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210</w:t>
      </w:r>
      <w:r w:rsidRPr="003A174E">
        <w:rPr>
          <w:rFonts w:ascii="Georgia" w:hAnsi="Georgia"/>
          <w:b/>
          <w:i/>
          <w:sz w:val="24"/>
          <w:szCs w:val="24"/>
          <w:lang w:val="es-CO"/>
        </w:rPr>
        <w:t>º. POLÍTICA DE ATENCIÓN INTEGRAL A LA PRIMERA INFANCIA, INFANCIA Y ADOLESCENCIA.</w:t>
      </w:r>
      <w:r w:rsidRPr="003A174E">
        <w:rPr>
          <w:rFonts w:ascii="Georgia" w:hAnsi="Georgia"/>
          <w:i/>
          <w:sz w:val="24"/>
          <w:szCs w:val="24"/>
          <w:lang w:val="es-CO"/>
        </w:rPr>
        <w:t xml:space="preserve"> Modifíquese el literal a) y adiciónese un parágrafo al artículo 82 de la Ley 1753 de 2015,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w:t>
      </w:r>
      <w:r w:rsidRPr="003A174E">
        <w:rPr>
          <w:rFonts w:ascii="Georgia" w:hAnsi="Georgia"/>
          <w:i/>
          <w:sz w:val="24"/>
          <w:szCs w:val="24"/>
          <w:lang w:val="es-CO"/>
        </w:rPr>
        <w:tab/>
        <w:t>Formulación e implementación de rutas integrales de atención que articulen y armonicen la oferta pública y privada, incluyendo las relacionadas con prevención de la violencia juvenil y el consumo de sustancias psicoactivas y estupefacientes.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El Gobierno nacional a través de los agentes del Sistema Nacional de Bienestar Familiar - SNBF, establecerá las condiciones institucionales, técnicas y financieras para la puesta en marcha de una oferta de atención especializada a niños, niñas y adolescentes con dependencia funcional permanente, y de aquellos que presenten consumo problemático de sustancias psicoactivas -  SPA, en complementariedad y concurrencia con los gobiernos territoriales y en el marco de sus competencias.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i/>
          <w:sz w:val="24"/>
          <w:szCs w:val="24"/>
          <w:lang w:val="es-CO"/>
        </w:rPr>
      </w:pPr>
      <w:r>
        <w:rPr>
          <w:rFonts w:ascii="Georgia" w:hAnsi="Georgia"/>
          <w:b/>
          <w:i/>
          <w:sz w:val="24"/>
          <w:szCs w:val="24"/>
          <w:lang w:val="es-CO"/>
        </w:rPr>
        <w:t>ARTÍCULO 211</w:t>
      </w:r>
      <w:r w:rsidRPr="003A174E">
        <w:rPr>
          <w:rFonts w:ascii="Georgia" w:hAnsi="Georgia"/>
          <w:b/>
          <w:i/>
          <w:sz w:val="24"/>
          <w:szCs w:val="24"/>
          <w:lang w:val="es-CO"/>
        </w:rPr>
        <w:t xml:space="preserve">º. ACCESO PREFERENTE A LA OFERTA DEL SECTOR DE INCLUSIÓN SOCIAL Y RECONCILIACIÓN. </w:t>
      </w:r>
      <w:r w:rsidRPr="003A174E">
        <w:rPr>
          <w:rFonts w:ascii="Georgia" w:hAnsi="Georgia"/>
          <w:i/>
          <w:sz w:val="24"/>
          <w:szCs w:val="24"/>
          <w:lang w:val="es-CO"/>
        </w:rPr>
        <w:t>Los niños, las niñas y los adolescentes en procesos de protección y las familias en programas de acompañamiento familiar del Instituto Colombiano de Bienestar Familiar - ICBF, tendrán acceso preferente a la oferta del Sector de Inclusión Social y Reconciliación, para la superación de las condiciones sociales y económicas que incidieron en la vulneración de sus derechos.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El Departamento Administrativo para la Prosperidad Social, en articulación con el Instituto Colombiano de Bienestar Familiar - ICBF, adelantarán las acciones correspondientes para el desarrollo de los instrumentos técnicos y normativos necesarios para garantizar el acceso preferencial a esta población.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212</w:t>
      </w:r>
      <w:r w:rsidRPr="003A174E">
        <w:rPr>
          <w:rFonts w:ascii="Georgia" w:hAnsi="Georgia"/>
          <w:b/>
          <w:i/>
          <w:sz w:val="24"/>
          <w:szCs w:val="24"/>
          <w:lang w:val="es-CO"/>
        </w:rPr>
        <w:t xml:space="preserve">º. MEDIDAS DE RESTABLECIMIENTO DE DERECHOS Y DE DECLARATORIA DE VULNERACIÓN. </w:t>
      </w:r>
      <w:r w:rsidRPr="003A174E">
        <w:rPr>
          <w:rFonts w:ascii="Georgia" w:hAnsi="Georgia"/>
          <w:i/>
          <w:sz w:val="24"/>
          <w:szCs w:val="24"/>
          <w:lang w:val="es-CO"/>
        </w:rPr>
        <w:t>Modifíquese el inciso sexto  del artículo 103 de la Ley 1098 de 2006, modificado por el artículo 6 de la Ley 1878 de 2018, y adiciónense los siguientes incisos,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Proceso Administrativo de Restablecimiento de Derechos con el seguimiento tendrá una duración de dieciocho (18) meses, contados a partir del conocimiento de los hechos por parte de la autoridad administrativa hasta la declaratoria de adoptabilidad o el cierre del proceso por haberse evidenciado con los seguimientos, que la ubicación en medio familiar fue la medida idónea.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el fin de garantizar una atención con enfoque diferencial, en los casos en que se advierta que un proceso no puede ser definido de fondo en el término máximo establecido, por las situaciones fácticas y probatorias que reposan en el expediente, el ICBF reglamentará un mecanismo para analizar el proceso y darle el aval a la autoridad administrativa para la ampliación del término.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se trata de procesos administrativos de restablecimiento de derechos de niños, niñas, adolescentes y adultos con discapacidad en los cuales se hubiere superado la vulneración de derechos,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los casos en que se otorgue el aval, la autoridad administrativa emitirá una resolución motivada decretando la ampliación del término y relacionando el acervo documental que soporta esta decisión.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213</w:t>
      </w:r>
      <w:r w:rsidRPr="003A174E">
        <w:rPr>
          <w:rFonts w:ascii="Georgia" w:hAnsi="Georgia"/>
          <w:b/>
          <w:i/>
          <w:sz w:val="24"/>
          <w:szCs w:val="24"/>
          <w:lang w:val="es-CO"/>
        </w:rPr>
        <w:t xml:space="preserve">º. ESTRATEGIA SACÚDETE. </w:t>
      </w:r>
      <w:r w:rsidRPr="003A174E">
        <w:rPr>
          <w:rFonts w:ascii="Georgia" w:hAnsi="Georgia"/>
          <w:i/>
          <w:sz w:val="24"/>
          <w:szCs w:val="24"/>
          <w:lang w:val="es-CO"/>
        </w:rPr>
        <w:t>El Gobierno nacional, bajo la coordinación técnica de la Dirección del Sistema Nacional de Juventud “Colombia Joven”, reglamentará e implementará la ESTRATEGIA SACÚDETE, cuyo objeto es desarrollar, fortalecer y potenciar los talentos, capacidades y habilidades de los jóvenes, a través de la transferencia de conocimientos y herramientas metodológicas, que faciliten la inserción en el mercado productivo y la consolidación de proyectos de vida legales y sostenibles.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entidades vinculadas a la implementación de la ESTRATEGIA SACÚDETE son: Ministerio de Comercio, Industria y Turismo, Ministerio de Trabajo, Ministerio de Justicia y del Derecho, Ministerio de Cultura, Ministerio de Salud y Protección Social, Ministerio de Ambiente y Desarrollo Sostenible, Ministerio de Educación Nacional, Ministerio de Tecnologías de la Información y las Comunicaciones, Ministerio de Agricultura y Desarrollo Rural, Departamento para la Prosperidad Social, Ministerio de Ciencia, Tecnología e Innovación, Departamento Administrativo Nacional de Estadística, SENA, ICBF y COLDEPORTES.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diseño e implementación de esta estrategia, se podrán destinar recursos de las entidades públicas del orden nacional y territorial, de organismos internacionales de desarrollo, de convenios de cooperación internacional y de convenios con organizaciones privadas.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214</w:t>
      </w:r>
      <w:r w:rsidRPr="003A174E">
        <w:rPr>
          <w:rFonts w:ascii="Georgia" w:hAnsi="Georgia"/>
          <w:b/>
          <w:i/>
          <w:sz w:val="24"/>
          <w:szCs w:val="24"/>
          <w:lang w:val="es-CO"/>
        </w:rPr>
        <w:t>º. FOCALIZACIÓN DE LA OFERTA SOCIAL</w:t>
      </w:r>
      <w:r w:rsidRPr="003A174E">
        <w:rPr>
          <w:rFonts w:ascii="Georgia" w:hAnsi="Georgia"/>
          <w:i/>
          <w:sz w:val="24"/>
          <w:szCs w:val="24"/>
          <w:lang w:val="es-CO"/>
        </w:rPr>
        <w:t>. Para todos los efectos, los programas del Departamento Administrativo para la Prosperidad Social focalizarán a la población que se encuentre en situación de pobreza y pobreza extrema, utilizando el SISBÉN.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Gobierno nacional definirá los lineamientos para la focalización de la población víctima del desplazamiento forzado en los programas sociales a nivel nacional y territorial, utilizando como instrumento de focalización el SISBÉN.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población pobre y pobre extrema tendrá acceso a programas y proyectos ejecutados por las entidades del Estado.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Para la caracterización e identificación de necesidades en materia socioeconómica de la población víctima de desplazamiento forzado las entidades territoriales utilizarán el SISBÉN.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215</w:t>
      </w:r>
      <w:r w:rsidRPr="003A174E">
        <w:rPr>
          <w:rFonts w:ascii="Georgia" w:hAnsi="Georgia"/>
          <w:b/>
          <w:i/>
          <w:sz w:val="24"/>
          <w:szCs w:val="24"/>
          <w:lang w:val="es-CO"/>
        </w:rPr>
        <w:t>°. MESA DE EQUIDAD</w:t>
      </w:r>
      <w:r w:rsidRPr="003A174E">
        <w:rPr>
          <w:rFonts w:ascii="Georgia" w:hAnsi="Georgia"/>
          <w:i/>
          <w:sz w:val="24"/>
          <w:szCs w:val="24"/>
          <w:lang w:val="es-CO"/>
        </w:rPr>
        <w:t>. Créase la Mesa de Equidad como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pobreza. La Secretaría Técnica estará a cargo del Departamento Nacional de Planeación y el Departamento Administrativo para la Prosperidad Social. El Gobierno nacional reglamentará el funcionamiento de la Mesa.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216</w:t>
      </w:r>
      <w:r w:rsidRPr="003A174E">
        <w:rPr>
          <w:rFonts w:ascii="Georgia" w:hAnsi="Georgia"/>
          <w:b/>
          <w:i/>
          <w:sz w:val="24"/>
          <w:szCs w:val="24"/>
          <w:lang w:val="es-CO"/>
        </w:rPr>
        <w:t xml:space="preserve">°. ACOMPAÑAMIENTO FAMILIAR Y SOCIAL EN LOS PROGRAMAS DE VIVIENDA GRATUITA. </w:t>
      </w:r>
      <w:r w:rsidRPr="003A174E">
        <w:rPr>
          <w:rFonts w:ascii="Georgia" w:hAnsi="Georgia"/>
          <w:i/>
          <w:sz w:val="24"/>
          <w:szCs w:val="24"/>
          <w:lang w:val="es-CO"/>
        </w:rPr>
        <w:t>Modifíquese el artículo 15 de la Ley 1537 de 2012 que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15. ACOMPAÑAMIENTO FAMILIAR Y SOCIAL EN LOS PROGRAMAS DE VIVIENDA GRATUITA. El Departamento Administrativo para la Prosperidad Social brindará acompañamiento familiar a través de la Estrategia Unidos a los hogares en condición de pobreza que sean beneficiarios de los programas de vivienda gratuita.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acompañamiento social en los proyectos de vivienda ejecutados en el marco de los programas de vivienda gratuita, en aspectos relacionados con temas de convivencia y el cuidado de las unidades privadas y las áreas comunes será coordinado por el Ministerio de Vivienda, Ciudad y Territorio.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nivel territorial la estrategia de acompañamiento social deberá ser implementada y ejecutada por los municipios, distritos y distritos especiales, quienes, junto con entidades privadas involucradas en los proyectos, deberán reportar al Ministerio de Vivienda, Ciudad y Territorio la información para el seguimiento al impacto del acompañamiento social en la calidad de vida de la población beneficiaria del Programa de Vivienda Gratuita.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ARTICULO 217</w:t>
      </w:r>
      <w:r w:rsidRPr="003A174E">
        <w:rPr>
          <w:rFonts w:ascii="Georgia" w:hAnsi="Georgia"/>
          <w:b/>
          <w:i/>
          <w:sz w:val="24"/>
          <w:szCs w:val="24"/>
          <w:lang w:val="es-CO"/>
        </w:rPr>
        <w:t xml:space="preserve">°. CUENTAS MAESTRAS PARA SERVICIOS DE ATENCIÓN DEL INSTITUTO COLOMBIANO DE BIENESTAR FAMILIAR - ICBF. </w:t>
      </w:r>
      <w:r w:rsidRPr="003A174E">
        <w:rPr>
          <w:rFonts w:ascii="Georgia" w:hAnsi="Georgia"/>
          <w:i/>
          <w:sz w:val="24"/>
          <w:szCs w:val="24"/>
          <w:lang w:val="es-CO"/>
        </w:rPr>
        <w:t>Las personas jurídicas o naturales que defina el Instituto Colombiano de Bienestar Familiar - ICBF, de acuerdo a criterios técnicos basados en el volumen de recursos que reciban en el marco de los contratos que suscriban para la ejecución de los objetivos misionales de la entidad, con recursos provenientes del Presupuesto General de la Nación, deberán realizar la apertura de Cuentas Maestras que solo aceptarán operaciones de débito por transferencia electrónica a terceros beneficiarios previamente inscritos de manera formal como receptores de dichos recursos. Así mismo, las operaciones de crédito que se hagan a estas cuentas maestras deberán realizarse vía electrónica.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reglamentación asociada con la apertura, registro, y demás operaciones autorizadas en las cuentas maestras, será establecida de conformidad con la metodología que para tal efecto determine el ICBF.</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ARTICULO 218</w:t>
      </w:r>
      <w:r w:rsidRPr="003A174E">
        <w:rPr>
          <w:rFonts w:ascii="Georgia" w:hAnsi="Georgia"/>
          <w:b/>
          <w:i/>
          <w:sz w:val="24"/>
          <w:szCs w:val="24"/>
          <w:lang w:val="es-CO"/>
        </w:rPr>
        <w:t>°. SUBSIDIO DE SOLIDARIDAD PENSIONAL</w:t>
      </w:r>
      <w:r w:rsidRPr="003A174E">
        <w:rPr>
          <w:rFonts w:ascii="Georgia" w:hAnsi="Georgia"/>
          <w:i/>
          <w:sz w:val="24"/>
          <w:szCs w:val="24"/>
          <w:lang w:val="es-CO"/>
        </w:rPr>
        <w:t>. Tendrán acceso al Subsidio de la subcuenta de subsistencia del Fondo de Solidaridad Pensional de que trata la Ley 797 de 2003, las personas que dejen de ser madres sustitutas a partir del 24 de noviembre de 2015, que hayan desarrollado la labor por un tiempo no menor de 10 años y que no reúnan los requisitos para acceder a una pensión.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identificación de las posibles beneficiarias de este subsidio la realizará el Instituto Colombiano de Bienestar Familiar - ICBF-, entidad que complementará en una porción que se defina el subsidio a otorgar por parte de la subcuenta de subsistencia del Fondo de Solidaridad Pensional.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ARTICULO 219</w:t>
      </w:r>
      <w:r w:rsidRPr="003A174E">
        <w:rPr>
          <w:rFonts w:ascii="Georgia" w:hAnsi="Georgia"/>
          <w:b/>
          <w:i/>
          <w:sz w:val="24"/>
          <w:szCs w:val="24"/>
          <w:lang w:val="es-CO"/>
        </w:rPr>
        <w:t>°. PREVENCIÓN DE LA EXPLOTACIÓN SEXUAL DE NIÑAS, NIÑOS Y ADOLESCENTES - ESCNNA</w:t>
      </w:r>
      <w:r w:rsidRPr="003A174E">
        <w:rPr>
          <w:rFonts w:ascii="Georgia" w:hAnsi="Georgia"/>
          <w:i/>
          <w:sz w:val="24"/>
          <w:szCs w:val="24"/>
          <w:lang w:val="es-CO"/>
        </w:rPr>
        <w:t xml:space="preserve">. El Gobierno </w:t>
      </w:r>
      <w:r>
        <w:rPr>
          <w:rFonts w:ascii="Georgia" w:hAnsi="Georgia"/>
          <w:i/>
          <w:sz w:val="24"/>
          <w:szCs w:val="24"/>
          <w:lang w:val="es-CO"/>
        </w:rPr>
        <w:t>nacional teniendo como base la L</w:t>
      </w:r>
      <w:r w:rsidRPr="003A174E">
        <w:rPr>
          <w:rFonts w:ascii="Georgia" w:hAnsi="Georgia"/>
          <w:i/>
          <w:sz w:val="24"/>
          <w:szCs w:val="24"/>
          <w:lang w:val="es-CO"/>
        </w:rPr>
        <w:t xml:space="preserve">ey 1336 de 2009, implementará un programa de prevención y atención integral para niños, niñas y adolescentes, víctimas de explotación sexual </w:t>
      </w:r>
      <w:r w:rsidRPr="003A174E">
        <w:rPr>
          <w:rFonts w:ascii="Georgia" w:hAnsi="Georgia"/>
          <w:i/>
          <w:sz w:val="24"/>
          <w:szCs w:val="24"/>
          <w:lang w:val="es-CO"/>
        </w:rPr>
        <w:lastRenderedPageBreak/>
        <w:t xml:space="preserve">y comercial. El Gobierno nacional en coordinación con las entidades territoriales priorizadas desarrollará una estrategia de asistencia técnica para incluir en los planes de desarrollo de los territorios focalizados, el programa de atención y prevención integral de acuerdo con las dinámicas específicas del territorio.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i/>
          <w:sz w:val="24"/>
          <w:szCs w:val="24"/>
          <w:lang w:val="es-ES"/>
        </w:rPr>
      </w:pPr>
      <w:r>
        <w:rPr>
          <w:rFonts w:ascii="Georgia" w:hAnsi="Georgia"/>
          <w:b/>
          <w:bCs/>
          <w:i/>
          <w:iCs/>
          <w:caps/>
          <w:sz w:val="24"/>
          <w:szCs w:val="24"/>
          <w:lang w:val="es-ES"/>
        </w:rPr>
        <w:t>Artículo 220</w:t>
      </w:r>
      <w:r w:rsidRPr="003A174E">
        <w:rPr>
          <w:rFonts w:ascii="Georgia" w:hAnsi="Georgia"/>
          <w:b/>
          <w:bCs/>
          <w:i/>
          <w:iCs/>
          <w:caps/>
          <w:sz w:val="24"/>
          <w:szCs w:val="24"/>
          <w:lang w:val="es-ES"/>
        </w:rPr>
        <w:t>º (Nuevo).</w:t>
      </w:r>
      <w:r w:rsidRPr="003A174E">
        <w:rPr>
          <w:rFonts w:ascii="Georgia" w:hAnsi="Georgia"/>
          <w:b/>
          <w:i/>
          <w:sz w:val="24"/>
          <w:szCs w:val="24"/>
          <w:lang w:val="es-ES"/>
        </w:rPr>
        <w:t xml:space="preserve"> ESTAMPILLA PARA EL BIENESTAR DEL ADULTO MAYOR. </w:t>
      </w:r>
      <w:r w:rsidRPr="003A174E">
        <w:rPr>
          <w:rFonts w:ascii="Georgia" w:hAnsi="Georgia"/>
          <w:i/>
          <w:sz w:val="24"/>
          <w:szCs w:val="24"/>
          <w:lang w:val="es-ES"/>
        </w:rPr>
        <w:t>Modifíquese el artículo 1 de la Ley 687 de 2001, el cual quedará así:</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iCs/>
          <w:caps/>
          <w:sz w:val="24"/>
          <w:szCs w:val="24"/>
          <w:lang w:val="es-ES"/>
        </w:rPr>
        <w:t>Artículo 1</w:t>
      </w:r>
      <w:r w:rsidRPr="003A174E">
        <w:rPr>
          <w:rFonts w:ascii="Georgia" w:hAnsi="Georgia"/>
          <w:b/>
          <w:i/>
          <w:sz w:val="24"/>
          <w:szCs w:val="24"/>
          <w:lang w:val="es-CO"/>
        </w:rPr>
        <w:t>°</w:t>
      </w:r>
      <w:r w:rsidRPr="003A174E">
        <w:rPr>
          <w:rFonts w:ascii="Georgia" w:hAnsi="Georgia"/>
          <w:i/>
          <w:iCs/>
          <w:caps/>
          <w:sz w:val="24"/>
          <w:szCs w:val="24"/>
          <w:lang w:val="es-ES"/>
        </w:rPr>
        <w:t>.</w:t>
      </w:r>
      <w:r w:rsidRPr="003A174E">
        <w:rPr>
          <w:rFonts w:ascii="Georgia" w:hAnsi="Georgia"/>
          <w:i/>
          <w:sz w:val="24"/>
          <w:szCs w:val="24"/>
          <w:lang w:val="es-ES"/>
        </w:rPr>
        <w:t xml:space="preserve"> Autorizase a las asambleas departamentales y a los concejos distritales y municipales para emitir una estampilla, la cual se llamará Estampilla para el Bienestar del Adulto Mayor, como recurso de obligatorio recaudo para concurrir con las entidades territoriales en la construcción, instalación, mantenimiento, adecuación, dotación y funcionamiento de Centros de Bienestar, Centros de Protección Social, Centros Vida y otras modalidades de atención y desarrollo de programas y servicios sociales dirigidos a las personas adultas mayores, en sus respectivas jurisdicciones. El producto de dichos recursos se destinará en un 70% para la financiación de los Centros Vida y el 30% restante, al financiamiento de los Centros de Bienestar o Centros de Protección Social del adulto mayor, sin perjuicio de los recursos adicionales que puedan gestionarse a través de otras fuentes como el Sistema General de Regalías, el Sistema General de Participaciones, el sector privado y la cooperación internacional, principalmente.</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PARÁGRAFO 1</w:t>
      </w:r>
      <w:r w:rsidRPr="003A174E">
        <w:rPr>
          <w:rFonts w:ascii="Georgia" w:hAnsi="Georgia"/>
          <w:i/>
          <w:sz w:val="24"/>
          <w:szCs w:val="24"/>
          <w:lang w:val="es-CO"/>
        </w:rPr>
        <w:t>°</w:t>
      </w:r>
      <w:r w:rsidRPr="003A174E">
        <w:rPr>
          <w:rFonts w:ascii="Georgia" w:hAnsi="Georgia"/>
          <w:i/>
          <w:sz w:val="24"/>
          <w:szCs w:val="24"/>
          <w:lang w:val="es-ES"/>
        </w:rPr>
        <w:t>.</w:t>
      </w:r>
      <w:r w:rsidRPr="003A174E">
        <w:rPr>
          <w:rFonts w:ascii="Georgia" w:hAnsi="Georgia"/>
          <w:b/>
          <w:i/>
          <w:sz w:val="24"/>
          <w:szCs w:val="24"/>
          <w:lang w:val="es-ES"/>
        </w:rPr>
        <w:t xml:space="preserve"> </w:t>
      </w:r>
      <w:r w:rsidRPr="003A174E">
        <w:rPr>
          <w:rFonts w:ascii="Georgia" w:hAnsi="Georgia"/>
          <w:i/>
          <w:sz w:val="24"/>
          <w:szCs w:val="24"/>
          <w:lang w:val="es-ES"/>
        </w:rPr>
        <w:t xml:space="preserve">El recaudo de la estampilla será invertido por la gobernación, alcaldía o distrito en los Centros de Bienestar, Centros de Protección Social, Centro Vida y otras modalidades de atención dirigidas a las personas adultas mayores de su jurisdicción, en proporción directa al número de adultos mayores de los niveles I y II del SISBÉN y en condición de vulnerabilidad. </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PARÁGRAFO 2</w:t>
      </w:r>
      <w:r w:rsidRPr="003A174E">
        <w:rPr>
          <w:rFonts w:ascii="Georgia" w:hAnsi="Georgia"/>
          <w:i/>
          <w:sz w:val="24"/>
          <w:szCs w:val="24"/>
          <w:lang w:val="es-CO"/>
        </w:rPr>
        <w:t>°</w:t>
      </w:r>
      <w:r w:rsidRPr="003A174E">
        <w:rPr>
          <w:rFonts w:ascii="Georgia" w:hAnsi="Georgia"/>
          <w:i/>
          <w:sz w:val="24"/>
          <w:szCs w:val="24"/>
          <w:lang w:val="es-ES"/>
        </w:rPr>
        <w:t>.</w:t>
      </w:r>
      <w:r w:rsidRPr="003A174E">
        <w:rPr>
          <w:rFonts w:ascii="Georgia" w:hAnsi="Georgia"/>
          <w:b/>
          <w:i/>
          <w:sz w:val="24"/>
          <w:szCs w:val="24"/>
          <w:lang w:val="es-ES"/>
        </w:rPr>
        <w:t xml:space="preserve"> </w:t>
      </w:r>
      <w:r w:rsidRPr="003A174E">
        <w:rPr>
          <w:rFonts w:ascii="Georgia" w:hAnsi="Georgia"/>
          <w:i/>
          <w:sz w:val="24"/>
          <w:szCs w:val="24"/>
          <w:lang w:val="es-ES"/>
        </w:rPr>
        <w:t xml:space="preserve">De acuerdo con las necesidades de apoyo social de la población adulto mayor en la entidad territorial, los recursos referidos en el presente artículo podrán destinarse en las distintas modalidades de atención, programas y servicios sociales dirigidos a las personas adultas mayores, siempre que se garantice la atención en condiciones de calidad, frecuencia y número de personas atendidas en los Centros Vida, Centros de Bienestar o Centros de Protección Social, los cuales no debe ser inferiores a las de la vigencia inmediatamente anterior. </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PARÁGRAFO 3</w:t>
      </w:r>
      <w:r w:rsidRPr="003A174E">
        <w:rPr>
          <w:rFonts w:ascii="Georgia" w:hAnsi="Georgia"/>
          <w:i/>
          <w:sz w:val="24"/>
          <w:szCs w:val="24"/>
          <w:lang w:val="es-CO"/>
        </w:rPr>
        <w:t>°</w:t>
      </w:r>
      <w:r w:rsidRPr="003A174E">
        <w:rPr>
          <w:rFonts w:ascii="Georgia" w:hAnsi="Georgia"/>
          <w:i/>
          <w:sz w:val="24"/>
          <w:szCs w:val="24"/>
          <w:lang w:val="es-ES"/>
        </w:rPr>
        <w:t>.</w:t>
      </w:r>
      <w:r w:rsidRPr="003A174E">
        <w:rPr>
          <w:rFonts w:ascii="Georgia" w:hAnsi="Georgia"/>
          <w:b/>
          <w:i/>
          <w:sz w:val="24"/>
          <w:szCs w:val="24"/>
          <w:lang w:val="es-ES"/>
        </w:rPr>
        <w:t xml:space="preserve"> </w:t>
      </w:r>
      <w:r w:rsidRPr="003A174E">
        <w:rPr>
          <w:rFonts w:ascii="Georgia" w:hAnsi="Georgia"/>
          <w:i/>
          <w:sz w:val="24"/>
          <w:szCs w:val="24"/>
          <w:lang w:val="es-ES"/>
        </w:rPr>
        <w:t>Los departamentos y distritos reportarán semestralmente, conforme lo determine el Ministerio de Salud y Protección Social o la entidad que haga sus veces, la información sobre la implementación de la Estampilla para el Bienestar del Adulto Mayor en su jurisdicción.</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line="240" w:lineRule="auto"/>
        <w:jc w:val="both"/>
        <w:rPr>
          <w:rFonts w:ascii="Georgia" w:eastAsia="Times New Roman" w:hAnsi="Georgia"/>
          <w:i/>
          <w:sz w:val="24"/>
          <w:szCs w:val="24"/>
          <w:lang w:val="es-CO" w:eastAsia="es-ES_tradnl"/>
        </w:rPr>
      </w:pPr>
      <w:r>
        <w:rPr>
          <w:rFonts w:ascii="Georgia" w:eastAsia="Times New Roman" w:hAnsi="Georgia"/>
          <w:b/>
          <w:i/>
          <w:sz w:val="24"/>
          <w:szCs w:val="24"/>
          <w:lang w:val="es-CO" w:eastAsia="es-ES_tradnl"/>
        </w:rPr>
        <w:t>ARTÍCULO 221</w:t>
      </w:r>
      <w:r w:rsidRPr="003A174E">
        <w:rPr>
          <w:rFonts w:ascii="Georgia" w:eastAsia="Times New Roman" w:hAnsi="Georgia"/>
          <w:b/>
          <w:i/>
          <w:sz w:val="24"/>
          <w:szCs w:val="24"/>
          <w:lang w:val="es-CO" w:eastAsia="es-ES_tradnl"/>
        </w:rPr>
        <w:t>º (NUEVO). CREACION DEL FONDO PARA EL BUEN VIVIR Y LA EQUIDAD DE LOS PUEBLOS INDIGENAS DE COLOMBIA.</w:t>
      </w:r>
      <w:r w:rsidRPr="003A174E">
        <w:rPr>
          <w:rFonts w:ascii="Georgia" w:eastAsia="Times New Roman" w:hAnsi="Georgia"/>
          <w:i/>
          <w:sz w:val="24"/>
          <w:szCs w:val="24"/>
          <w:lang w:val="es-CO" w:eastAsia="es-ES_tradnl"/>
        </w:rPr>
        <w:t xml:space="preserve"> </w:t>
      </w:r>
      <w:r w:rsidRPr="003A174E">
        <w:rPr>
          <w:rFonts w:ascii="Georgia" w:eastAsia="Times New Roman" w:hAnsi="Georgia"/>
          <w:i/>
          <w:sz w:val="24"/>
          <w:szCs w:val="24"/>
          <w:lang w:val="es-CO" w:eastAsia="es-ES_tradnl"/>
        </w:rPr>
        <w:lastRenderedPageBreak/>
        <w:t xml:space="preserve">Para apoyar el desarrollo con identidad de los pueblos indígenas de Colombia, créase un fondo cuenta sin personería jurídica en el Ministerio del Interior, el cual se denominará FONDO PARA EL BUEN VIVIR Y LA EQUIDAD DE LOS PUEBLOS INDIGENAS DE COLOMBIA.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El Fondo tendrá como objeto la promoción y financiamiento de las siguientes líneas:</w:t>
      </w:r>
    </w:p>
    <w:p w:rsidR="00EC45FF" w:rsidRPr="003A174E" w:rsidRDefault="00EC45FF" w:rsidP="00EC45FF">
      <w:pPr>
        <w:spacing w:after="0" w:line="240" w:lineRule="auto"/>
        <w:jc w:val="both"/>
        <w:rPr>
          <w:rFonts w:ascii="Georgia" w:eastAsia="Times New Roman" w:hAnsi="Georgia"/>
          <w:i/>
          <w:sz w:val="24"/>
          <w:szCs w:val="24"/>
          <w:lang w:val="es-CO" w:eastAsia="es-ES_tradnl"/>
        </w:rPr>
      </w:pP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 1. Acceso a los derechos territoriales de los Pueblos Indígenas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2. Emprendimiento y desarrollo económico propio de los Pueblos Indígenas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3. Fortalecimiento de la institucionalidad de los Pueblos Indígenas de Colombia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4. Infraestructura y servicios públicos de los territorios donde esten asentados Pueblos Indígenas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5. Empoderamiento de las mujeres, familia y generaciones de los pueblos indígenas.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El Fondo dispondrá de las siguientes fuentes para su financiamiento: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1. Recursos del Presupuesto General de la Nación.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2. Recursos aportados por las entidades territoriales.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3. Recursos provenientes de operaciones de financiamiento interno o externo.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4. Donaciones tanto de origen nacional como internacional.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 xml:space="preserve">5. Recursos provenientes de operaciones de crédito. </w:t>
      </w:r>
    </w:p>
    <w:p w:rsidR="00EC45FF" w:rsidRPr="003A174E" w:rsidRDefault="00EC45FF" w:rsidP="00EC45FF">
      <w:pPr>
        <w:spacing w:after="0" w:line="240" w:lineRule="auto"/>
        <w:jc w:val="both"/>
        <w:rPr>
          <w:rFonts w:ascii="Georgia" w:eastAsia="Times New Roman" w:hAnsi="Georgia"/>
          <w:i/>
          <w:sz w:val="24"/>
          <w:szCs w:val="24"/>
          <w:lang w:val="es-CO" w:eastAsia="es-ES_tradnl"/>
        </w:rPr>
      </w:pPr>
      <w:r w:rsidRPr="003A174E">
        <w:rPr>
          <w:rFonts w:ascii="Georgia" w:eastAsia="Times New Roman" w:hAnsi="Georgia"/>
          <w:i/>
          <w:sz w:val="24"/>
          <w:szCs w:val="24"/>
          <w:lang w:val="es-CO" w:eastAsia="es-ES_tradnl"/>
        </w:rPr>
        <w:t>6. Los demás recursos que obtenga o se le asignen a cualquier título.</w:t>
      </w:r>
    </w:p>
    <w:p w:rsidR="00EC45FF" w:rsidRPr="003A174E" w:rsidRDefault="00EC45FF" w:rsidP="00EC45FF">
      <w:pPr>
        <w:spacing w:after="0" w:line="240" w:lineRule="auto"/>
        <w:jc w:val="both"/>
        <w:rPr>
          <w:rFonts w:ascii="Georgia" w:eastAsia="Times New Roman" w:hAnsi="Georgia"/>
          <w:i/>
          <w:sz w:val="24"/>
          <w:szCs w:val="24"/>
          <w:lang w:val="es-CO" w:eastAsia="es-ES_tradnl"/>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222</w:t>
      </w:r>
      <w:r w:rsidRPr="003A174E">
        <w:rPr>
          <w:rFonts w:ascii="Georgia" w:hAnsi="Georgia"/>
          <w:b/>
          <w:i/>
          <w:sz w:val="24"/>
          <w:szCs w:val="24"/>
          <w:lang w:val="es-CO"/>
        </w:rPr>
        <w:t>°. TRAZADOR PRESUPUESTAL.</w:t>
      </w:r>
      <w:r w:rsidRPr="003A174E">
        <w:rPr>
          <w:rFonts w:ascii="Georgia" w:hAnsi="Georgia"/>
          <w:i/>
          <w:sz w:val="24"/>
          <w:szCs w:val="24"/>
          <w:lang w:val="es-CO"/>
        </w:rPr>
        <w:t xml:space="preserve"> Las entidades estatales del orden nacional conforme a sus competencias identificarán mediante un marcador presupuestal especial, las asignaciones presupuestales para los pueblos indígenas, comunidades negras, afros, raizales, palenqueros y Rrom, con el fin de preparar anualmente un informe de los recursos y los resultados obtenidos en desarrollo de estos pueblos de la vigencia inmediatamente anterior y los recursos apropiados para la vigencia en curso.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Este informe deberá ser presentado a más tardar en el mes de abril de cada año, a las instancias de concertación y consulta de nivel nacional de cada uno de estos pueblos y comunidades.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Pr>
          <w:rFonts w:ascii="Georgia" w:eastAsia="+mn-ea" w:hAnsi="Georgia"/>
          <w:b/>
          <w:bCs/>
          <w:i/>
          <w:kern w:val="24"/>
          <w:sz w:val="24"/>
          <w:szCs w:val="24"/>
          <w:lang w:val="es-CO" w:eastAsia="es-CO"/>
        </w:rPr>
        <w:t>ARTÍCULO 223</w:t>
      </w:r>
      <w:r w:rsidRPr="003A174E">
        <w:rPr>
          <w:rFonts w:ascii="Georgia" w:eastAsia="+mn-ea" w:hAnsi="Georgia"/>
          <w:b/>
          <w:bCs/>
          <w:i/>
          <w:kern w:val="24"/>
          <w:sz w:val="24"/>
          <w:szCs w:val="24"/>
          <w:lang w:val="es-CO" w:eastAsia="es-CO"/>
        </w:rPr>
        <w:t xml:space="preserve">°. </w:t>
      </w:r>
      <w:r w:rsidRPr="003A174E">
        <w:rPr>
          <w:rFonts w:ascii="Georgia" w:eastAsia="+mn-ea" w:hAnsi="Georgia"/>
          <w:b/>
          <w:bCs/>
          <w:i/>
          <w:kern w:val="24"/>
          <w:sz w:val="24"/>
          <w:szCs w:val="24"/>
          <w:lang w:val="es-CO"/>
        </w:rPr>
        <w:t>TRAZADOR PRESUPUESTAL PARA LA PAZ</w:t>
      </w:r>
      <w:r w:rsidRPr="003A174E">
        <w:rPr>
          <w:rFonts w:ascii="Georgia" w:eastAsia="+mn-ea" w:hAnsi="Georgia"/>
          <w:i/>
          <w:kern w:val="24"/>
          <w:sz w:val="24"/>
          <w:szCs w:val="24"/>
          <w:lang w:val="es-CO"/>
        </w:rPr>
        <w:t xml:space="preserve">. </w:t>
      </w:r>
      <w:r w:rsidRPr="003A174E">
        <w:rPr>
          <w:rFonts w:ascii="Georgia" w:hAnsi="Georgia"/>
          <w:i/>
          <w:color w:val="000000"/>
          <w:sz w:val="24"/>
          <w:szCs w:val="24"/>
          <w:shd w:val="clear" w:color="auto" w:fill="FFFFFF"/>
        </w:rPr>
        <w:t>Para cada vigencia fiscal, las entidades estatales del orden nacional conforme a sus competencias identificarán mediante un marcador presupuestal especial denominado -Construcción de Paz- las partidas presupuestales tanto de funcionamiento como de inversión, destinadas a cumplir la implementación del Acuerdo de Paz. Esta información deberá conformar el proyecto de Ley del Presupuesto General de la Nación que se presente al Congreso anualmente, durante el tiempo de ejecución del PMI, como un anexo denominado Anexo Gasto Construcción de Paz PGN.</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i/>
          <w:color w:val="000000"/>
          <w:sz w:val="24"/>
          <w:szCs w:val="24"/>
          <w:shd w:val="clear" w:color="auto" w:fill="FFFFFF"/>
        </w:rPr>
        <w:t>En la elaboración del Plan Operativo Anual de Inversiones que prioriza el Departamento Nacional de Planeación, se identificarán los proyectos de inversión que dispondrán del nuevo trazador presupuestal a que hace referencia el inciso anterior.</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i/>
          <w:color w:val="000000"/>
          <w:sz w:val="24"/>
          <w:szCs w:val="24"/>
          <w:shd w:val="clear" w:color="auto" w:fill="FFFFFF"/>
        </w:rPr>
        <w:t>El Departamento Nacional de Planeación por su parte deberá garantizar que los proyectos formulados para implementar las acciones con ocasión al Plan Marco de Implementación se encuentren alineados con la implementación de la Hoja de Ruta, sean identificados de igual manera con la denominación Construcción de Paz.</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eastAsia="+mn-ea" w:hAnsi="Georgia"/>
          <w:i/>
          <w:kern w:val="24"/>
          <w:sz w:val="24"/>
          <w:szCs w:val="24"/>
          <w:lang w:val="es-CO"/>
        </w:rPr>
      </w:pPr>
      <w:r w:rsidRPr="003A174E">
        <w:rPr>
          <w:rFonts w:ascii="Georgia" w:eastAsia="+mn-ea" w:hAnsi="Georgia"/>
          <w:i/>
          <w:kern w:val="24"/>
          <w:sz w:val="24"/>
          <w:szCs w:val="24"/>
          <w:lang w:val="es-CO"/>
        </w:rPr>
        <w:t>Las Entidades Estatales del orden nacional conforme a sus competencias deberán reportar periódicamente el avance de los indicadores estipulados en el Plan Marco de implementación en el Sistema de Información Integral para el Posconflicto (SIIPO), o el que para estos fines disponga el Gobierno Nacional, información que deberá ser pública. La Consejería Presidencial para la Estabilización y Consolidación en articulación con el Departamento Nacional de Planeación estarán a cargo del Sistema.</w:t>
      </w:r>
    </w:p>
    <w:p w:rsidR="00EC45FF" w:rsidRPr="003A174E" w:rsidRDefault="00EC45FF" w:rsidP="00EC45FF">
      <w:pPr>
        <w:spacing w:afterLines="20" w:after="48" w:line="240" w:lineRule="auto"/>
        <w:jc w:val="both"/>
        <w:rPr>
          <w:rFonts w:ascii="Georgia" w:eastAsia="+mn-ea" w:hAnsi="Georgia"/>
          <w:i/>
          <w:kern w:val="24"/>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Pr>
          <w:rFonts w:ascii="Georgia" w:hAnsi="Georgia"/>
          <w:b/>
          <w:i/>
          <w:sz w:val="24"/>
          <w:szCs w:val="24"/>
          <w:lang w:val="es-CO"/>
        </w:rPr>
        <w:t>ARTÍCULO 224</w:t>
      </w:r>
      <w:r w:rsidRPr="003A174E">
        <w:rPr>
          <w:rFonts w:ascii="Georgia" w:hAnsi="Georgia"/>
          <w:b/>
          <w:i/>
          <w:sz w:val="24"/>
          <w:szCs w:val="24"/>
          <w:lang w:val="es-CO"/>
        </w:rPr>
        <w:t>°.</w:t>
      </w:r>
      <w:r w:rsidRPr="003A174E">
        <w:rPr>
          <w:rFonts w:ascii="Georgia" w:hAnsi="Georgia"/>
          <w:i/>
          <w:sz w:val="24"/>
          <w:szCs w:val="24"/>
          <w:lang w:val="es-CO"/>
        </w:rPr>
        <w:t xml:space="preserve"> </w:t>
      </w:r>
      <w:r w:rsidRPr="003A174E">
        <w:rPr>
          <w:rFonts w:ascii="Georgia" w:hAnsi="Georgia"/>
          <w:b/>
          <w:i/>
          <w:sz w:val="24"/>
          <w:szCs w:val="24"/>
        </w:rPr>
        <w:t>TRAZADOR PRESUPUESTAL PARA LA EQUIDAD DE LA MUJER.</w:t>
      </w:r>
      <w:r w:rsidRPr="003A174E">
        <w:rPr>
          <w:rFonts w:ascii="Georgia" w:hAnsi="Georgia"/>
          <w:i/>
          <w:sz w:val="24"/>
          <w:szCs w:val="24"/>
        </w:rPr>
        <w:t xml:space="preserve"> El Ministerio de Hacienda y Crédito Público y el Departamento Nacional de Planeación definirá un marcador de la equidad para las mujeres, con el fin de que las entidades que conforman el Presupuesto General de la Nación identifiquen las asignaciones presupuestales para la referida finalidad, preparen y </w:t>
      </w:r>
      <w:r w:rsidRPr="003A174E">
        <w:rPr>
          <w:rFonts w:ascii="Georgia" w:hAnsi="Georgia"/>
          <w:i/>
          <w:color w:val="000000"/>
          <w:sz w:val="24"/>
          <w:szCs w:val="24"/>
          <w:shd w:val="clear" w:color="auto" w:fill="FFFFFF"/>
        </w:rPr>
        <w:t>presenten anualmente un informe de los recursos y los resultados obtenidos en la vigencia inmediatamente anterior, así como de los recursos apropiados para la vigencia en curso.</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color w:val="000000"/>
          <w:sz w:val="24"/>
          <w:szCs w:val="24"/>
          <w:shd w:val="clear" w:color="auto" w:fill="FFFFFF"/>
        </w:rPr>
        <w:t>Los</w:t>
      </w:r>
      <w:r w:rsidRPr="003A174E">
        <w:rPr>
          <w:rFonts w:ascii="Georgia" w:hAnsi="Georgia"/>
          <w:i/>
          <w:sz w:val="24"/>
          <w:szCs w:val="24"/>
        </w:rPr>
        <w:t xml:space="preserve"> informes mencionados en los incisos anteriores deberán presentarse a más tardar en el mes de abril ante el Congreso de la República. En la elaboración del Plan Operativo Anual de Inversiones que prioriza el Departamento Nacional de Planeación, se identificarán los proyectos de inversión que dispondrán de los trazadores presupuestales a que hace referencia los incisos anteriores.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b/>
          <w:i/>
          <w:color w:val="000000"/>
          <w:sz w:val="24"/>
          <w:szCs w:val="24"/>
          <w:lang w:val="es-ES_tradnl"/>
        </w:rPr>
        <w:t xml:space="preserve">ARTÍCULO </w:t>
      </w:r>
      <w:r>
        <w:rPr>
          <w:rFonts w:ascii="Georgia" w:hAnsi="Georgia"/>
          <w:b/>
          <w:i/>
          <w:color w:val="000000"/>
          <w:sz w:val="24"/>
          <w:szCs w:val="24"/>
          <w:lang w:val="es-ES_tradnl"/>
        </w:rPr>
        <w:t>225</w:t>
      </w:r>
      <w:r w:rsidRPr="003A174E">
        <w:rPr>
          <w:rFonts w:ascii="Georgia" w:hAnsi="Georgia"/>
          <w:b/>
          <w:i/>
          <w:color w:val="000000"/>
          <w:sz w:val="24"/>
          <w:szCs w:val="24"/>
          <w:lang w:val="es-ES_tradnl"/>
        </w:rPr>
        <w:t xml:space="preserve">º (NUEVO). </w:t>
      </w:r>
      <w:r w:rsidRPr="003A174E">
        <w:rPr>
          <w:rFonts w:ascii="Georgia" w:hAnsi="Georgia"/>
          <w:b/>
          <w:i/>
          <w:sz w:val="24"/>
          <w:szCs w:val="24"/>
          <w:lang w:val="es-ES"/>
        </w:rPr>
        <w:t>SISTEMA</w:t>
      </w:r>
      <w:r w:rsidRPr="003A174E">
        <w:rPr>
          <w:rFonts w:ascii="Georgia" w:hAnsi="Georgia"/>
          <w:b/>
          <w:i/>
          <w:sz w:val="24"/>
          <w:szCs w:val="24"/>
        </w:rPr>
        <w:t xml:space="preserve"> NACIONAL DE LAS MUJERES</w:t>
      </w:r>
      <w:r w:rsidRPr="003A174E">
        <w:rPr>
          <w:rFonts w:ascii="Georgia" w:hAnsi="Georgia"/>
          <w:i/>
          <w:sz w:val="24"/>
          <w:szCs w:val="24"/>
          <w:lang w:val="es-ES"/>
        </w:rPr>
        <w:t xml:space="preserve">. </w:t>
      </w:r>
      <w:r w:rsidRPr="003A174E">
        <w:rPr>
          <w:rFonts w:ascii="Georgia" w:hAnsi="Georgia"/>
          <w:i/>
          <w:sz w:val="24"/>
          <w:szCs w:val="24"/>
        </w:rPr>
        <w:t xml:space="preserve">Créase el Sistema Nacional de las Mujeres como un conjunto de políticas, instrumentos, componentes y procesos con el fin de incluir en la agenda de las diferentes ramas del poder público los temas prioritarios en materia de avance y garantía de los derechos humanos de las mujeres, con especial énfasis en el impulso </w:t>
      </w:r>
      <w:r w:rsidRPr="003A174E">
        <w:rPr>
          <w:rFonts w:ascii="Georgia" w:hAnsi="Georgia"/>
          <w:i/>
          <w:color w:val="000000"/>
          <w:sz w:val="24"/>
          <w:szCs w:val="24"/>
          <w:shd w:val="clear" w:color="auto" w:fill="FFFFFF"/>
        </w:rPr>
        <w:t>de la transversalidad del enfoque de género para las mujeres en las entidades del orden nacional y en la definición de políticas públicas sobre equidad de género para las mujeres.</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i/>
          <w:color w:val="000000"/>
          <w:sz w:val="24"/>
          <w:szCs w:val="24"/>
          <w:shd w:val="clear" w:color="auto" w:fill="FFFFFF"/>
        </w:rPr>
        <w:lastRenderedPageBreak/>
        <w:t xml:space="preserve">El Sistema estará integrado por representantes del Gobierno nacional, la Comisión Legal para la Equidad de la Mujer del Congreso de la República, la Comisión de Género de la Rama Judicial, la Procuraduría General de la Nación y la Defensoría del Pueblo. Podrán asistir como invitados representantes de organismos internacionales, de las secretarias de la mujer del nivel territorial, representantes de la academia y representantes de organizaciones de la sociedad civil que cuenten con conocimiento y experticia sobre los derechos de las mujeres. El sistema también estará integrado por el Observatorio de Asuntos de Genero (OAG), a cargo de la Consejería Presidencial para la Equidad de la Mujer, con el fin de que este último suministre a sus integrantes la información cuantitativa y cualitativa relevante para el análisis y discusión en torno a la garantía de derechos de las mujeres. </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i/>
          <w:color w:val="000000"/>
          <w:sz w:val="24"/>
          <w:szCs w:val="24"/>
          <w:shd w:val="clear" w:color="auto" w:fill="FFFFFF"/>
        </w:rPr>
        <w:t xml:space="preserve">El Sistema Nacional de las Mujeres dará insumos para la formulación de la Política de Equidad de Género para las Mujeres y realizará seguimiento a la implementación del Plan de acción de dicha política. En la construcción de esta política se hará énfasis en las mujeres rurales teniendo en cuenta un enfoque interseccional. </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r w:rsidRPr="003A174E">
        <w:rPr>
          <w:rFonts w:ascii="Georgia" w:hAnsi="Georgia"/>
          <w:i/>
          <w:color w:val="000000"/>
          <w:sz w:val="24"/>
          <w:szCs w:val="24"/>
          <w:shd w:val="clear" w:color="auto" w:fill="FFFFFF"/>
        </w:rPr>
        <w:t xml:space="preserve">Así mismo, el Sistema realizará seguimiento a la política pública de cuidado que se construirá bajo la coordinación de la Comisión Intersectorial del Sistema de Cuidado, teniendo en cuenta los enfoques de género e interseccional para el reconocimiento, reducción y redistribución del trabajo doméstico y de cuidado remunerado y no remunerado. </w:t>
      </w:r>
    </w:p>
    <w:p w:rsidR="00EC45FF" w:rsidRPr="003A174E" w:rsidRDefault="00EC45FF" w:rsidP="00EC45FF">
      <w:pPr>
        <w:spacing w:afterLines="20" w:after="48" w:line="240" w:lineRule="auto"/>
        <w:jc w:val="both"/>
        <w:rPr>
          <w:rFonts w:ascii="Georgia" w:hAnsi="Georgia"/>
          <w:i/>
          <w:color w:val="000000"/>
          <w:sz w:val="24"/>
          <w:szCs w:val="24"/>
          <w:shd w:val="clear" w:color="auto" w:fill="FFFFFF"/>
        </w:rPr>
      </w:pPr>
    </w:p>
    <w:p w:rsidR="00EC45FF" w:rsidRPr="003A174E" w:rsidRDefault="00EC45FF" w:rsidP="00EC45FF">
      <w:pPr>
        <w:spacing w:afterLines="20" w:after="48" w:line="240" w:lineRule="auto"/>
        <w:jc w:val="both"/>
        <w:rPr>
          <w:rFonts w:ascii="Georgia" w:hAnsi="Georgia"/>
          <w:i/>
          <w:sz w:val="24"/>
          <w:szCs w:val="24"/>
          <w:lang w:val="es-ES"/>
        </w:rPr>
      </w:pPr>
      <w:r w:rsidRPr="003A174E">
        <w:rPr>
          <w:rFonts w:ascii="Georgia" w:hAnsi="Georgia"/>
          <w:b/>
          <w:i/>
          <w:color w:val="000000"/>
          <w:sz w:val="24"/>
          <w:szCs w:val="24"/>
          <w:shd w:val="clear" w:color="auto" w:fill="FFFFFF"/>
        </w:rPr>
        <w:t>PARAGRAFO</w:t>
      </w:r>
      <w:r w:rsidRPr="003A174E">
        <w:rPr>
          <w:rFonts w:ascii="Georgia" w:hAnsi="Georgia"/>
          <w:b/>
          <w:i/>
          <w:sz w:val="24"/>
          <w:szCs w:val="24"/>
        </w:rPr>
        <w:t xml:space="preserve"> TRANSITORIO</w:t>
      </w:r>
      <w:r w:rsidRPr="003A174E">
        <w:rPr>
          <w:rFonts w:ascii="Georgia" w:hAnsi="Georgia"/>
          <w:b/>
          <w:i/>
          <w:sz w:val="24"/>
          <w:szCs w:val="24"/>
          <w:lang w:val="es-ES"/>
        </w:rPr>
        <w:t>.</w:t>
      </w:r>
      <w:r w:rsidRPr="003A174E">
        <w:rPr>
          <w:rFonts w:ascii="Georgia" w:hAnsi="Georgia"/>
          <w:i/>
          <w:sz w:val="24"/>
          <w:szCs w:val="24"/>
          <w:lang w:val="es-ES"/>
        </w:rPr>
        <w:t xml:space="preserve"> </w:t>
      </w:r>
      <w:r w:rsidRPr="003A174E">
        <w:rPr>
          <w:rFonts w:ascii="Georgia" w:hAnsi="Georgia"/>
          <w:i/>
          <w:sz w:val="24"/>
          <w:szCs w:val="24"/>
        </w:rPr>
        <w:t>El Departamento Administrativo de la Presidencia de la República, dentro de los tres (3) meses siguientes a la entrada en vigencia de la presente ley, reglamentará el funcionamiento del Sistema</w:t>
      </w:r>
      <w:r w:rsidRPr="003A174E">
        <w:rPr>
          <w:rFonts w:ascii="Georgia" w:hAnsi="Georgia"/>
          <w:i/>
          <w:sz w:val="24"/>
          <w:szCs w:val="24"/>
          <w:lang w:val="es-ES"/>
        </w:rPr>
        <w:t>.</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226</w:t>
      </w:r>
      <w:r w:rsidRPr="003A174E">
        <w:rPr>
          <w:rFonts w:ascii="Georgia" w:hAnsi="Georgia"/>
          <w:b/>
          <w:bCs/>
          <w:i/>
          <w:sz w:val="24"/>
          <w:szCs w:val="24"/>
          <w:lang w:val="es-CO"/>
        </w:rPr>
        <w:t>º. RESTITUCIÓN DEL SUBSIDIO Y DEL INMUEBLE OBJETO DEL SUBSIDIO DE ARRENDAMIENTO</w:t>
      </w:r>
      <w:r w:rsidRPr="003A174E">
        <w:rPr>
          <w:rFonts w:ascii="Georgia" w:hAnsi="Georgia"/>
          <w:i/>
          <w:sz w:val="24"/>
          <w:szCs w:val="24"/>
          <w:lang w:val="es-CO"/>
        </w:rPr>
        <w:t>. El presunto incumplimiento de las obligaciones de los beneficiarios del subsidio familiar de vivienda para arrendamiento dará inicio por parte la entidad otorgante, para la revocatoria de la asignación del subsidio y la restitución del inmueble. Para el efecto se aplicará el siguiente procedimiento: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 Se citará a audiencia por parte de la entidad otorgante en la que detallarán los hechos, acompañados de las pruebas que sustenten la actuación, enunciando las obligaciones presuntamente incumplidas, así como las consecuencias que podrían derivarse. En la misma citación se establecerá el lugar, fecha y hora para la realización de la audiencia;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(ii) En desarrollo de la audiencia se presentarán los hechos, obligaciones presuntamente incumplidas y los elementos probatorios que dan cuenta del presunto incumplimiento conforme a la citación efectuada. Acto seguido, se concederá el uso de la palabra al beneficiario del subsidio o su representante para </w:t>
      </w:r>
      <w:r w:rsidRPr="003A174E">
        <w:rPr>
          <w:rFonts w:ascii="Georgia" w:hAnsi="Georgia"/>
          <w:i/>
          <w:sz w:val="24"/>
          <w:szCs w:val="24"/>
          <w:lang w:val="es-CO"/>
        </w:rPr>
        <w:lastRenderedPageBreak/>
        <w:t>que presenten sus descargos, en desarrollo de lo cual, podrá rendir las explicaciones del caso, aportar pruebas y controvertir las presentadas por la entidad.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Agotada la etapa anterior, en la misma audiencia, la entidad procederá a decidir sobre el cumplimiento de las obligaciones del beneficiario del subsidio, la revocatoria del mismo y la restitución del inmueble, mediante resolución motivada, en la que se consigne lo ocurrido en desarrollo de la audiencia y la cual se entenderá notificada en dicho acto público. Contra la decisión así proferida sólo procede el recurso de reposición que se interpondrá, sustentará y decidirá en la misma audiencia. La decisión sobre el recurso se entenderá notificada en la misma audiencia.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cualquier momento del desarrollo de la audiencia, la entidad otorgante podrá suspenderla, de oficio o a petición de parte. En todo caso, al adoptar la decisión de suspensión se señalará fecha y hora para reanudar la audiencia.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más tardar dentro de los cinco (5) días hábiles siguientes a la ejecutoria del acto administrativo, mediante el cual se revoca el Subsidio Familiar de Vivienda y se ordena la restitución de la tenencia del inmueble arrendado a su propietario, expedido por la entidad otorgante, el hogar beneficiario deberá suscribir el acta de restitución de la vivienda, a través de la cual se deja la constancia de su entrega material, so pena de que se inicien las acciones policivas y/o judiciales a que haya lugar.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vivienda deberá ser restituida en las mismas condiciones en las que fue entregada, salvo por el deterioro normal por el transcurso del tiempo y el uso legítimo de la misma. A solicitud del hogar, este podrá contar con acompañamiento por parte del Ministerio Público durante el proceso administrativo descrito.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efectos del subsidio de vivienda para arrendamiento, no aplica lo establecido en el artículo 16 de la Ley 820 de 2003.</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w:t>
      </w:r>
      <w:r w:rsidRPr="003A174E">
        <w:rPr>
          <w:rFonts w:ascii="Georgia" w:hAnsi="Georgia"/>
          <w:i/>
          <w:sz w:val="24"/>
          <w:szCs w:val="24"/>
          <w:lang w:val="es-CO"/>
        </w:rPr>
        <w:t>El procedimiento previsto en este artículo aplicará también para la restitución formal del título de dominio del bien inmueble objeto del subsidio familiar de vivienda 100% en especie.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227</w:t>
      </w:r>
      <w:r w:rsidRPr="003A174E">
        <w:rPr>
          <w:rFonts w:ascii="Georgia" w:hAnsi="Georgia"/>
          <w:b/>
          <w:i/>
          <w:sz w:val="24"/>
          <w:szCs w:val="24"/>
          <w:lang w:val="es-CO"/>
        </w:rPr>
        <w:t>°. PROTECCIÓN CONTRA LA PÉRDIDA DEL VALOR ADQUISITIVO DE LA MONEDA</w:t>
      </w:r>
      <w:r w:rsidRPr="003A174E">
        <w:rPr>
          <w:rFonts w:ascii="Georgia" w:hAnsi="Georgia"/>
          <w:i/>
          <w:sz w:val="24"/>
          <w:szCs w:val="24"/>
          <w:lang w:val="es-CO"/>
        </w:rPr>
        <w:t>. Modifíquese el artículo 11 de la Ley 432 de 1998,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11. PROTECCIÓN CONTRA LA PÉRDIDA DEL VALOR ADQUISITIVO DE LA MONEDA. El Fondo Nacional de Ahorro reconocerá y abonará en la cuenta individual de cesantías de cada afiliado, como mínimo un interés equivalente a la </w:t>
      </w:r>
      <w:r w:rsidRPr="003A174E">
        <w:rPr>
          <w:rFonts w:ascii="Georgia" w:hAnsi="Georgia"/>
          <w:i/>
          <w:sz w:val="24"/>
          <w:szCs w:val="24"/>
          <w:lang w:val="es-CO"/>
        </w:rPr>
        <w:lastRenderedPageBreak/>
        <w:t>variación anual de la Unidad de Valor Real -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efecto, los saldos de Cesantías que administre el Fondo Nacional del Ahorro - FNA se denominaran en UVR y se reexpresarán en pesos de acuerdo con el valor de la UVR, certificado por el Banco de la República, con base en la fecha de consignación de cada una de las fracciones.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228</w:t>
      </w:r>
      <w:r w:rsidRPr="003A174E">
        <w:rPr>
          <w:rFonts w:ascii="Georgia" w:hAnsi="Georgia"/>
          <w:b/>
          <w:i/>
          <w:sz w:val="24"/>
          <w:szCs w:val="24"/>
          <w:lang w:val="es-CO"/>
        </w:rPr>
        <w:t>°. INTERESES SOBRE CESANTÍAS</w:t>
      </w:r>
      <w:r w:rsidRPr="003A174E">
        <w:rPr>
          <w:rFonts w:ascii="Georgia" w:hAnsi="Georgia"/>
          <w:i/>
          <w:sz w:val="24"/>
          <w:szCs w:val="24"/>
          <w:lang w:val="es-CO"/>
        </w:rPr>
        <w:t>. Modifíquese el artículo 12 de la Ley 432 de 1998,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12. INTERESES SOBRE CESANTÍAS. El Fondo Nacional del Ahorro reconocerá y abonará en la cuenta de cesantías de cada servidor público afiliado, un interés equivalente a la variación anual de la Unidad de Valor Real-UVR,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efecto, los saldos que administre el Fondo Nacional del Ahorro por este concepto se denominarán en UVR y se reexpresarán en pesos de acuerdo con el valor de la UVR, certificado por el Banco de la República, con base en la fecha de consignación de cada una de las fracciones.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 2</w:t>
      </w:r>
      <w:r>
        <w:rPr>
          <w:rFonts w:ascii="Georgia" w:hAnsi="Georgia"/>
          <w:b/>
          <w:i/>
          <w:sz w:val="24"/>
          <w:szCs w:val="24"/>
          <w:lang w:val="es-CO"/>
        </w:rPr>
        <w:t>29</w:t>
      </w:r>
      <w:r w:rsidRPr="003A174E">
        <w:rPr>
          <w:rFonts w:ascii="Georgia" w:hAnsi="Georgia"/>
          <w:b/>
          <w:i/>
          <w:sz w:val="24"/>
          <w:szCs w:val="24"/>
          <w:lang w:val="es-CO"/>
        </w:rPr>
        <w:t>°. FONDO DE ESTABILIZACIÓN DE PRECIOS DE CAFÉ.</w:t>
      </w:r>
      <w:r w:rsidRPr="003A174E">
        <w:rPr>
          <w:rFonts w:ascii="Georgia" w:hAnsi="Georgia"/>
          <w:i/>
          <w:sz w:val="24"/>
          <w:szCs w:val="24"/>
          <w:lang w:val="es-CO"/>
        </w:rPr>
        <w:t xml:space="preserve"> Créase el Fondo de Estabilización de Precios del Café como una cuenta especial sin personería jurídica que tendrá por objeto adoptar una variedad de mecanismos técnicamente idóneos para estabilizar el ingreso de los productores de café colombiano y protegerlo de precios extremadamente bajos.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Congreso de la República definirá su estructura, administración, finalidades, funciones, recursos para su capitalización y funcionamiento, mecanismos y criterios para su reglamentación por parte del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230</w:t>
      </w:r>
      <w:r w:rsidRPr="003A174E">
        <w:rPr>
          <w:rFonts w:ascii="Georgia" w:hAnsi="Georgia"/>
          <w:b/>
          <w:i/>
          <w:sz w:val="24"/>
          <w:szCs w:val="24"/>
          <w:lang w:val="es-CO"/>
        </w:rPr>
        <w:t>°. SUBSIDIO DE ENERGÍA PARA DISTRITOS DE RIEGO</w:t>
      </w:r>
      <w:r w:rsidRPr="003A174E">
        <w:rPr>
          <w:rFonts w:ascii="Georgia" w:hAnsi="Georgia"/>
          <w:i/>
          <w:sz w:val="24"/>
          <w:szCs w:val="24"/>
          <w:lang w:val="es-CO"/>
        </w:rPr>
        <w:t>. La Nación asignará un monto de recursos destinados a cubrir el valor correspondiente a un porcentaje del cincuenta por ciento (50%) del costo de la energía eléctrica y gas natural que consuman los distritos de riego que utilicen equipos electromecánicos para su operación debidamente comprobado por las empresas prestadoras del servicio respectivo, de los usuarios de los distritos de riego y de los distritos de riego administrados por el estado o por las Asociaciones de Usuarios debidamente reconocidos por el Ministerio de Agricultura y Desarrollo Rural.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Para el caso de los usuarios de riego cuya facturación sea individual, este beneficio se otorgará sólo para aquellos que no posean más de cincuenta (50) hectáreas.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PARAGRAFO SEGUNDO</w:t>
      </w:r>
      <w:r w:rsidRPr="003A174E">
        <w:rPr>
          <w:rFonts w:ascii="Georgia" w:hAnsi="Georgia"/>
          <w:i/>
          <w:sz w:val="24"/>
          <w:szCs w:val="24"/>
          <w:lang w:val="es-CO"/>
        </w:rPr>
        <w:t>. Para efectos de la clasificación de los usuarios del servicio de energía eléctrica y gas natural, según la Ley 142 de 1994, la utilización de estos servicios para el riego dirigido a la producción agropecuaria se clasificará dentro de la clase especial, la cual no pagará contribución. Además, con el objeto de comercializar la energía eléctrica y el gas natural, los usuarios de los distritos de riego, se clasificarán como usuarios no regulados.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El subsidio aquí descrito tendrá vigencia a partir del 1 de enero del año 2019.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231</w:t>
      </w:r>
      <w:r w:rsidRPr="003A174E">
        <w:rPr>
          <w:rFonts w:ascii="Georgia" w:hAnsi="Georgia"/>
          <w:b/>
          <w:i/>
          <w:sz w:val="24"/>
          <w:szCs w:val="24"/>
          <w:lang w:val="es-CO"/>
        </w:rPr>
        <w:t>°. SUBSIDIOS A PEQUEÑOS PRODUCTORES RURALES (PENDIENTE REDACCIÓN).</w:t>
      </w: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232</w:t>
      </w:r>
      <w:r w:rsidRPr="003A174E">
        <w:rPr>
          <w:rFonts w:ascii="Georgia" w:hAnsi="Georgia"/>
          <w:b/>
          <w:i/>
          <w:sz w:val="24"/>
          <w:szCs w:val="24"/>
          <w:lang w:val="es-CO"/>
        </w:rPr>
        <w:t>º (NUEVO). CALIFICACIÓN DIFERENCIADA EN COMPRAS PÚBLICAS DE ALIMENTOS</w:t>
      </w:r>
      <w:r w:rsidRPr="003A174E">
        <w:rPr>
          <w:rFonts w:ascii="Georgia" w:hAnsi="Georgia"/>
          <w:i/>
          <w:sz w:val="24"/>
          <w:szCs w:val="24"/>
          <w:lang w:val="es-CO"/>
        </w:rPr>
        <w:t xml:space="preserve"> Las entidades públicas descentralizadas del orden nacional y las entidades territoriales cada vez que requieran productos de origen agropecuario para atender la demanda de los programas institucionales de servicios de alimentación deberán establecer en sus pliegos de condiciones puntajes adicionales y estrategias de ponderación que mejoren las calificaciones de los proponentes cuando presenten contratos de proveeduría suscritos con productores nacionales. El Ministerio de Agricultura y Desarrollo Rural y el Departamento Nacional de Planeación en un plazo máximo de no más de tres (3) meses establecerá el esquema de puntajes adicionales.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Sin perjuicio de lo anterior, las entidades públicas contratantes deberán adquirir hasta el cuarenta por ciento (40%) de alimentos procesados o sin procesar, en donde los insumos y los productos hayan sido adquiridos de productores agropecuarios locales.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 Adicionalmente, podrá establecerse un diez por cientos (10%) de puntaje adicional, a los proveedores que realicen el suministro que se pretenda contratar vinculando pequeños productores.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Para garantizar el derecho a la igualdad de los pequeños productores, los contratos de proveeduría que se presenten respecto de ellos podrán ser individuales u organizados bajo cualquier esquema asociativo registrado ante las Secretarias de Agricultura de sus respectivas entidades territoriales.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 Ministerio de Agricultura y Desarrollo Rural en coordinación con Colombia Compra Eficiente desarrollará al menos una guía que será publicada en los sitios web de ambas entidades, en el marco de las estrategias de política definidas por la Cartera del Sector Agricultura y Desarrollo Rural, que incluirán aproximaciones teóricas, estadísticas o funcionales del concepto de “pequeño productor” y de lo que se puede considerar “esquema asociativo de pequeños productores”.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233</w:t>
      </w:r>
      <w:r w:rsidRPr="003A174E">
        <w:rPr>
          <w:rFonts w:ascii="Georgia" w:hAnsi="Georgia"/>
          <w:b/>
          <w:i/>
          <w:sz w:val="24"/>
          <w:szCs w:val="24"/>
          <w:lang w:val="es-CO"/>
        </w:rPr>
        <w:t>º (NUEVO).</w:t>
      </w:r>
      <w:r w:rsidRPr="003A174E">
        <w:rPr>
          <w:rFonts w:ascii="Georgia" w:hAnsi="Georgia"/>
          <w:b/>
          <w:i/>
          <w:sz w:val="24"/>
          <w:szCs w:val="24"/>
        </w:rPr>
        <w:t xml:space="preserve"> BIENES QUE SE ENCUENTRAN EXENTOS DEL IMPUESTO</w:t>
      </w:r>
      <w:r w:rsidRPr="003A174E">
        <w:rPr>
          <w:rFonts w:ascii="Georgia" w:hAnsi="Georgia"/>
          <w:i/>
          <w:sz w:val="24"/>
          <w:szCs w:val="24"/>
        </w:rPr>
        <w:t>.</w:t>
      </w:r>
      <w:r w:rsidRPr="003A174E">
        <w:rPr>
          <w:rFonts w:ascii="Georgia" w:hAnsi="Georgia"/>
          <w:i/>
          <w:sz w:val="24"/>
          <w:szCs w:val="24"/>
          <w:lang w:val="es-CO"/>
        </w:rPr>
        <w:t xml:space="preserve"> Adiciónense al artículo 477 del Estatuto Tributario el siguiente bien que tendrá la naturaleza de exento para efectos del impuesto sobre las ventas: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10.06 Arroz para consumo humano (excepto el arroz con cáscara o "Arroz Paddy" de la partida 10.06.10.90.00 y el arroz para la siembra de la partida 10.06.10.10.00, los cuales conservan la calidad de bienes excluidos del IVA)"</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4</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EN LA SALUD</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234</w:t>
      </w:r>
      <w:r w:rsidRPr="003A174E">
        <w:rPr>
          <w:rFonts w:ascii="Georgia" w:hAnsi="Georgia"/>
          <w:b/>
          <w:i/>
          <w:sz w:val="24"/>
          <w:szCs w:val="24"/>
          <w:lang w:val="es-CO"/>
        </w:rPr>
        <w:t xml:space="preserve">º. COMPETENCIAS EN SALUD POR PARTE DE LA NACIÓN. </w:t>
      </w:r>
      <w:r w:rsidRPr="003A174E">
        <w:rPr>
          <w:rFonts w:ascii="Georgia" w:hAnsi="Georgia"/>
          <w:i/>
          <w:sz w:val="24"/>
          <w:szCs w:val="24"/>
          <w:lang w:val="es-CO"/>
        </w:rPr>
        <w:t>Adiciónese el numeral 42.24 al artículo 42 de la Ley 715 de 2001,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42.24. Financiar, verificar, controlar y pagar servicios y tecnologías en salud no financiadas con cargo a la Unidad de Pago por Capitación - UPC en el Sistema General de Seguridad Social en Salud. La verificación, control y pago de las cuentas que soportan los servicios y tecnologías de salud no financiados con recursos de la UPC de los afiliados al Régimen Subsidiado prestados a partir del 1 de enero de 2020 y siguientes, estará a cargo de la Administradora de los Recursos del Sistema de Seguridad Social en Salud – ADRES, de conformidad con los lineamientos que para el efecto expida el Ministerio de Salud y Protección Social.</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235</w:t>
      </w:r>
      <w:r w:rsidRPr="003A174E">
        <w:rPr>
          <w:rFonts w:ascii="Georgia" w:hAnsi="Georgia"/>
          <w:b/>
          <w:i/>
          <w:sz w:val="24"/>
          <w:szCs w:val="24"/>
          <w:lang w:val="es-CO"/>
        </w:rPr>
        <w:t>º. COMPETENCIAS DE LOS DEPARTAMENTOS EN LA PRESTACIÓN DE SERVICIOS DE SALUD</w:t>
      </w:r>
      <w:r w:rsidRPr="003A174E">
        <w:rPr>
          <w:rFonts w:ascii="Georgia" w:hAnsi="Georgia"/>
          <w:i/>
          <w:sz w:val="24"/>
          <w:szCs w:val="24"/>
          <w:lang w:val="es-CO"/>
        </w:rPr>
        <w:t>. Adiciónense los siguientes numerales al artículo 43 de la Ley 715 de 2001, así:</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43.2.9. Garantizar la contratación y el seguimiento del subsidio a la oferta, entendido como la cofinanciación de la operación de la prestación de servicios y tecnologías efectuada en zonas alejadas o de difícil acceso, a través de instituciones públicas o infraestructura pública administrada por terceros ubicadas en esas zonas, que sean monopolio en servicios trazadores y no sostenibles por venta de servicios, de conformidad con los criterios establecidos por el Gobierno nacional. Los subsidios a la oferta se financiarán con recursos del Sistema General de Participaciones y con los recursos propios de la entidad territorial.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43.2.10. Realizar la verificación, control y pago de los servicios y tecnologías no financiados con cargo a la UPC de los afiliados al régimen subsidiado de su jurisdicción, prestados hasta el 31 de diciembre de 2019.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43.2.11 Ejecutar los recursos que asigne el Gobierno nacional para la atención de la población migrante y destinar recursos propios, si lo considera pertinente.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Pr>
          <w:rFonts w:ascii="Georgia" w:hAnsi="Georgia"/>
          <w:b/>
          <w:bCs/>
          <w:i/>
          <w:sz w:val="24"/>
          <w:szCs w:val="24"/>
          <w:lang w:val="es-CO"/>
        </w:rPr>
        <w:t>ARTÍCULO 236</w:t>
      </w:r>
      <w:r w:rsidRPr="003A174E">
        <w:rPr>
          <w:rFonts w:ascii="Georgia" w:hAnsi="Georgia"/>
          <w:b/>
          <w:bCs/>
          <w:i/>
          <w:sz w:val="24"/>
          <w:szCs w:val="24"/>
          <w:lang w:val="es-CO"/>
        </w:rPr>
        <w:t xml:space="preserve">º. DESTINACIÓN Y DISTRIBUCIÓN DE LOS RECURSOS DEL SISTEMA GENERAL DE PARTICIPACIONES PARA SALUD. </w:t>
      </w:r>
      <w:r w:rsidRPr="003A174E">
        <w:rPr>
          <w:rFonts w:ascii="Georgia" w:hAnsi="Georgia"/>
          <w:bCs/>
          <w:i/>
          <w:sz w:val="24"/>
          <w:szCs w:val="24"/>
          <w:lang w:val="es-CO"/>
        </w:rPr>
        <w:t>Modifíquese el artículo 47 de la Ley 715 de 2001, el cual quedará así:</w:t>
      </w: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ARTÍCULO 47. DISTRIBUCIÓN DE LOS RECURSOS DEL SISTEMA GENERAL DE PARTICIPACIONES</w:t>
      </w:r>
      <w:r w:rsidRPr="003A174E">
        <w:rPr>
          <w:rFonts w:ascii="Georgia" w:hAnsi="Georgia"/>
          <w:b/>
          <w:bCs/>
          <w:i/>
          <w:sz w:val="24"/>
          <w:szCs w:val="24"/>
          <w:lang w:val="es-CO"/>
        </w:rPr>
        <w:t xml:space="preserve">. </w:t>
      </w:r>
      <w:r w:rsidRPr="003A174E">
        <w:rPr>
          <w:rFonts w:ascii="Georgia" w:hAnsi="Georgia"/>
          <w:bCs/>
          <w:i/>
          <w:sz w:val="24"/>
          <w:szCs w:val="24"/>
          <w:lang w:val="es-CO"/>
        </w:rPr>
        <w:t>Los recursos del Sistema General en Participaciones en salud se destinarán y distribuirán en los siguientes componentes:</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1. El 88% para el componente de aseguramiento en salud de los afiliados al Régimen Subsidiado.</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2. El 10% para el componente de salud pública y el 2% para el subsidio a la oferta.</w:t>
      </w: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t xml:space="preserve"> </w:t>
      </w: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t xml:space="preserve">PARÁGRAFO 1. </w:t>
      </w:r>
      <w:r w:rsidRPr="003A174E">
        <w:rPr>
          <w:rFonts w:ascii="Georgia" w:hAnsi="Georgia"/>
          <w:bCs/>
          <w:i/>
          <w:sz w:val="24"/>
          <w:szCs w:val="24"/>
          <w:lang w:val="es-CO"/>
        </w:rPr>
        <w:t>La información utilizada para determinar la asignación de los recursos será suministrada por el Departamento Administrativo Nacional de Estadística - DANE; el Ministerio de Salud y Protección Social; el Departamento Nacional de Planeación - DNP; el Instituto Geográfico Agustín Codazzi - IGAC, conforme a la que generen en ejercicio de sus competencias y acorde con la reglamentación que se expida para el efecto.</w:t>
      </w: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 xml:space="preserve">PARÁGRAFO 2. </w:t>
      </w:r>
      <w:r w:rsidRPr="003A174E">
        <w:rPr>
          <w:rFonts w:ascii="Georgia" w:hAnsi="Georgia"/>
          <w:bCs/>
          <w:i/>
          <w:sz w:val="24"/>
          <w:szCs w:val="24"/>
          <w:lang w:val="es-CO"/>
        </w:rPr>
        <w:t>Los recursos destinados a salud pública que no se comprometan al cierre de cada vigencia fiscal, se utilizarán para cofinanciar los programas de interés en salud pública de que trata el numeral 13 del artículo 42 de la Ley 715 de 2001, o las normas que las sustituyan, modifiquen o adicionen.</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237</w:t>
      </w:r>
      <w:r w:rsidRPr="003A174E">
        <w:rPr>
          <w:rFonts w:ascii="Georgia" w:hAnsi="Georgia"/>
          <w:b/>
          <w:bCs/>
          <w:i/>
          <w:sz w:val="24"/>
          <w:szCs w:val="24"/>
          <w:lang w:val="es-CO"/>
        </w:rPr>
        <w:t>º. DISTRIBUCIÓN DE LOS RECURSOS DE ASEGURAMIENTO EN SALUD.</w:t>
      </w:r>
      <w:r w:rsidRPr="003A174E">
        <w:rPr>
          <w:rFonts w:ascii="Georgia" w:hAnsi="Georgia"/>
          <w:i/>
          <w:sz w:val="24"/>
          <w:szCs w:val="24"/>
          <w:lang w:val="es-CO"/>
        </w:rPr>
        <w:t xml:space="preserve"> Modifíquese el artículo 48 de la Ley 715 de 2001,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48. DISTRIBUCIÓN DE LOS RECURSOS DE ASEGURAMIENTO EN SALUD. Los recursos del Sistema General de Participaciones destinados al componente de aseguramiento en salud del régimen subsidiado serán asignados a distritos, municipios y áreas no municipalizadas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recursos de este componente se dividirán por el total de la población pobre afiliada al régimen subsidiado en el país en la vigencia anterior, con el fin de estimar un per cápita nacional. El valor per cápita resultante se multiplicará por la población pobre afiliada al régimen subsidiado en cada ente territorial. La población afiliada para los efectos del presente cálculo será la del año anterior a aquél para el cual se realiza la distribución. El resultado será la cuantía que corresponderá a cada distrito, municipio o áreas no municipalizadas de los departamentos.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población pobre afiliada al régimen subsidiado de las áreas no municipalizadas de los departamentos de Amazonas, Guainía y Vaupés hará parte del cálculo de los recursos del departamento estos serán asignados sin situación de fondos.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238</w:t>
      </w:r>
      <w:r w:rsidRPr="003A174E">
        <w:rPr>
          <w:rFonts w:ascii="Georgia" w:hAnsi="Georgia"/>
          <w:b/>
          <w:bCs/>
          <w:i/>
          <w:sz w:val="24"/>
          <w:szCs w:val="24"/>
          <w:lang w:val="es-CO"/>
        </w:rPr>
        <w:t>º. DISTRIBUCIÓN DE LOS RECURSOS DEL COMPONENTE DE SALUD PÚBLICA Y SUBSIDIOS A LA OFERTA.</w:t>
      </w:r>
      <w:r w:rsidRPr="003A174E">
        <w:rPr>
          <w:rFonts w:ascii="Georgia" w:hAnsi="Georgia"/>
          <w:b/>
          <w:bCs/>
          <w:i/>
          <w:sz w:val="24"/>
          <w:szCs w:val="24"/>
          <w:u w:val="single"/>
          <w:lang w:val="es-CO"/>
        </w:rPr>
        <w:t xml:space="preserve"> </w:t>
      </w:r>
      <w:r w:rsidRPr="003A174E">
        <w:rPr>
          <w:rFonts w:ascii="Georgia" w:hAnsi="Georgia"/>
          <w:i/>
          <w:sz w:val="24"/>
          <w:szCs w:val="24"/>
          <w:lang w:val="es-CO"/>
        </w:rPr>
        <w:t>Modifíquese el artículo 52 de la Ley 715 de 2001,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52. DISTRIBUCIÓN DE LOS RECURSOS DEL COMPONENTE DE SALUD PÚBLICA Y DE SUBSIDIO DE OFERTA. Este componente comprende dos subcomponentes: el de acciones de salud pública y el de subsidio a la oferta. Los recursos correspondientes a estos subcomponentes se distribuirán así:</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52.1 </w:t>
      </w:r>
      <w:r w:rsidRPr="003A174E">
        <w:rPr>
          <w:rFonts w:ascii="Georgia" w:hAnsi="Georgia"/>
          <w:i/>
          <w:sz w:val="24"/>
          <w:szCs w:val="24"/>
          <w:lang w:val="es-CO"/>
        </w:rPr>
        <w:tab/>
        <w:t>El subcomponente de Acciones de Salud Pública, se distribuirá a cada entidad territorial de acuerdo al resultado de la sumatoria de siguientes criterios: población, porcentaje de pobreza de cada entidad territorial, ruralidad, densidad poblacional y eficiencia administrativa. Se entenderá como eficiencia administrativa el mayor o menor cumplimiento en metas prioritarias de salud pública, medidas por indicadores trazadores.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departamentos recibirán el 45% de los recursos destinados a este subcomponente para financiar las acciones de salud pública de su competencia, la operación y mantenimiento de los laboratorios de salud pública y el 100% de los asignados a las áreas no municipalizadas. Los municipios y distritos recibirán el 55% de los recursos asignados a este componente, con excepción del Distrito Capital que recibirá el 100%.</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Ministerio de Salud y Protección Social deberá diseñar e implementar los sistemas de monitoreo que den cuenta del uso eficiente de los recursos y los resultados en salud, acorde con las acciones de salud pública priorizadas. Para lo </w:t>
      </w:r>
      <w:r w:rsidRPr="003A174E">
        <w:rPr>
          <w:rFonts w:ascii="Georgia" w:hAnsi="Georgia"/>
          <w:i/>
          <w:sz w:val="24"/>
          <w:szCs w:val="24"/>
          <w:lang w:val="es-CO"/>
        </w:rPr>
        <w:lastRenderedPageBreak/>
        <w:t>cual los departamentos, distritos y municipios deberán reportar la información que corresponda.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Los departamentos, distritos y municipios podrán establecer convenios de asociación para la ejecución de los recursos, en función de los planes territoriales de salud pública de intervenciones colectivas, en especial los objetivos y metas priorizadas en el respectivo territorio.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52.2 El subcomponente de Subsidio a la Oferta se define como una asignación de recursos para concurrir en la financiación de la operación de la prestación de servicios efectuada por instituciones públicas o infraestructura pública administrada por terceros, ubicadas en zonas alejadas o de difícil acceso que sean monopolio en servicios trazadores y no sostenibles por venta de servicios</w:t>
      </w:r>
      <w:r w:rsidRPr="003A174E">
        <w:rPr>
          <w:rFonts w:ascii="Georgia" w:hAnsi="Georgia"/>
          <w:b/>
          <w:bCs/>
          <w:i/>
          <w:sz w:val="24"/>
          <w:szCs w:val="24"/>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para financiar este subcomponente de se distribuirán entre los municipios y distritos certificados y los departamentos con instituciones de prestación de servicios de que trata el inciso anterior, de conformidad con los siguientes criterios: población total, porcentaje de pobreza de cada entidad territorial, ruralidad y densidad poblacional.</w:t>
      </w:r>
      <w:r w:rsidRPr="003A174E">
        <w:rPr>
          <w:rFonts w:ascii="Georgia" w:hAnsi="Georgia"/>
          <w:i/>
          <w:sz w:val="24"/>
          <w:szCs w:val="24"/>
          <w:vertAlign w:val="superscript"/>
          <w:lang w:val="es-CO"/>
        </w:rPr>
        <w:t xml:space="preserv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Pr>
          <w:rFonts w:ascii="Georgia" w:hAnsi="Georgia"/>
          <w:b/>
          <w:bCs/>
          <w:i/>
          <w:sz w:val="24"/>
          <w:szCs w:val="24"/>
          <w:lang w:val="es-CO"/>
        </w:rPr>
        <w:t>ARTÍCULO 239</w:t>
      </w:r>
      <w:r w:rsidRPr="003A174E">
        <w:rPr>
          <w:rFonts w:ascii="Georgia" w:hAnsi="Georgia"/>
          <w:b/>
          <w:bCs/>
          <w:i/>
          <w:sz w:val="24"/>
          <w:szCs w:val="24"/>
          <w:lang w:val="es-CO"/>
        </w:rPr>
        <w:t xml:space="preserve">º. PAGO DE SERVICIOS Y TECNOLOGÍAS DE USUARIOS NO AFILIADOS. </w:t>
      </w:r>
      <w:r w:rsidRPr="003A174E">
        <w:rPr>
          <w:rFonts w:ascii="Georgia" w:hAnsi="Georgia"/>
          <w:bCs/>
          <w:i/>
          <w:sz w:val="24"/>
          <w:szCs w:val="24"/>
          <w:lang w:val="es-CO"/>
        </w:rPr>
        <w:t xml:space="preserve">Con el propósito de lograr la cobertura universal del aseguramiento, cuando una persona requiera la prestación de servicios de salud y no esté afiliada al Sistema General de Seguridad Social en Salud, la entidad territorial competente, en coordinación con las Entidades Promotoras de Salud - EPS y con las Instituciones Prestadoras de Servicios de Salud - IPS públicas o privadas afiliarán a estas personas al régimen de salud que corresponda, teniendo en cuenta su capacidad de pago; lo anterior de conformidad con los lineamientos que para el efecto se expidan.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Los gastos en salud que se deriven de la atención a población pobre que no haya surtido el proceso de afiliación definido en el presente artículo, serán asumidos por las entidades territoriales.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240</w:t>
      </w:r>
      <w:r w:rsidRPr="003A174E">
        <w:rPr>
          <w:rFonts w:ascii="Georgia" w:hAnsi="Georgia"/>
          <w:b/>
          <w:bCs/>
          <w:i/>
          <w:sz w:val="24"/>
          <w:szCs w:val="24"/>
          <w:lang w:val="es-CO"/>
        </w:rPr>
        <w:t xml:space="preserve">º. SOSTENIBILIDAD FINANCIERA DEL SISTEMA GENERAL DE SEGURIDAD SOCIAL EN SALUD. </w:t>
      </w:r>
      <w:r w:rsidRPr="003A174E">
        <w:rPr>
          <w:rFonts w:ascii="Georgia" w:hAnsi="Georgia"/>
          <w:i/>
          <w:sz w:val="24"/>
          <w:szCs w:val="24"/>
          <w:lang w:val="es-CO"/>
        </w:rPr>
        <w:t>Con el fin de contribuir a la sostenibilidad financiera del Sistema General de Seguridad Social en Salud – SGSSS, el Gobierno nacional definirá los criterios y los plazos para la estructuración, operación y seguimiento del saneamiento definitivo de las cuentas de recobro relacionadas con los servicios y tecnologías de salud no financiados con cargo a la UPC del régimen contributivo. Los servicios y tecnologías en salud objeto de este saneamiento deben cumplir los siguientes requisitos: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hayan sido prestados con anterioridad a la entrada en vigor de la presente Ley.</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Que en los eventos en que se hubieren prestado con posterioridad a la entrada en vigencia de la Ley 1753 de 2015, la solicitud de pago se haya presentado dentro de los términos a que hace referencia el artículo 73 de la Ley 1753 de 2015.</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la obligación derivada de la prestación del servicio o tecnología no se encuentre afectada por caducidad y/o prescripción.</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hayan sido prescritos a quien le asistía el derecho, por un profesional de la salud o mediante un fallo de tutela, facturadas por el prestador o proveedor y suministradas al usuario. Para demostrar el cumplimiento de este requisito se podrán utilizar los medios de prueba establecidos en el Código General del Proceso que sean conducentes y pertinentes para acreditar la efectiva prestación del servicio, de acuerdo a la reglamentación que emita el Ministerio de Salud y Protección Social.</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no se trate de insumos que no observen el principio de integralidad</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no se trate de recobros involucrados en investigación por la Contraloría General de la República, la Fiscalía General de la Nación y/o la Superintendencia Nacional de Salud.</w:t>
      </w:r>
    </w:p>
    <w:p w:rsidR="00EC45FF" w:rsidRPr="003A174E" w:rsidRDefault="00EC45FF" w:rsidP="00EC45FF">
      <w:pPr>
        <w:numPr>
          <w:ilvl w:val="0"/>
          <w:numId w:val="17"/>
        </w:numPr>
        <w:spacing w:afterLines="20" w:after="48" w:line="240" w:lineRule="auto"/>
        <w:jc w:val="both"/>
        <w:rPr>
          <w:rFonts w:ascii="Georgia" w:hAnsi="Georgia"/>
          <w:i/>
          <w:sz w:val="24"/>
          <w:szCs w:val="24"/>
          <w:lang w:val="es-CO"/>
        </w:rPr>
      </w:pPr>
      <w:r w:rsidRPr="003A174E">
        <w:rPr>
          <w:rFonts w:ascii="Georgia" w:hAnsi="Georgia"/>
          <w:i/>
          <w:sz w:val="24"/>
          <w:szCs w:val="24"/>
          <w:lang w:val="es-CO"/>
        </w:rPr>
        <w:t>Que no correspondan a uno de los criterios definidos en el artículo 15 de la Ley 1751 de 2015.</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cuentas de recobro que cumplan los requisitos enlistados podrán ser objeto de reconocimiento y pago por parte de la Administradora de los Recursos de Sistema de Seguridad Social en Salud – ADRES, una vez se cumplan las siguientes condiciones: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w:t>
      </w:r>
      <w:r w:rsidRPr="003A174E">
        <w:rPr>
          <w:rFonts w:ascii="Georgia" w:hAnsi="Georgia"/>
          <w:i/>
          <w:sz w:val="24"/>
          <w:szCs w:val="24"/>
          <w:lang w:val="es-CO"/>
        </w:rPr>
        <w:tab/>
        <w:t xml:space="preserve">Como requisito indispensable para presentar la solicitud a través de este mecanismo la entidad recobrante y la ADRES suscribirán un contrato de transacción en el que la primera se obligue como mínimo 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1.1 </w:t>
      </w:r>
      <w:r w:rsidRPr="003A174E">
        <w:rPr>
          <w:rFonts w:ascii="Georgia" w:hAnsi="Georgia"/>
          <w:i/>
          <w:sz w:val="24"/>
          <w:szCs w:val="24"/>
          <w:lang w:val="es-CO"/>
        </w:rPr>
        <w:tab/>
        <w:t>Aceptar los resultados producto del proceso de verificación y control;</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1.2</w:t>
      </w:r>
      <w:r w:rsidRPr="003A174E">
        <w:rPr>
          <w:rFonts w:ascii="Georgia" w:hAnsi="Georgia"/>
          <w:i/>
          <w:sz w:val="24"/>
          <w:szCs w:val="24"/>
          <w:lang w:val="es-CO"/>
        </w:rPr>
        <w:tab/>
        <w:t>Renunciar a instaurar o desistir de cualquier acción judicial o administrativa relacionada con la solicitud de pago elevada;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w:t>
      </w:r>
      <w:r w:rsidRPr="003A174E">
        <w:rPr>
          <w:rFonts w:ascii="Georgia" w:hAnsi="Georgia"/>
          <w:i/>
          <w:sz w:val="24"/>
          <w:szCs w:val="24"/>
          <w:lang w:val="es-CO"/>
        </w:rPr>
        <w:tab/>
        <w:t>Renunciar expresamente al cobro de cualquier tipo de interés y otros gastos, independientemente de su denominación sobre las cuentas presentadas, al momento de radicarlas por este mecanismo;</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1.4</w:t>
      </w:r>
      <w:r w:rsidRPr="003A174E">
        <w:rPr>
          <w:rFonts w:ascii="Georgia" w:hAnsi="Georgia"/>
          <w:i/>
          <w:sz w:val="24"/>
          <w:szCs w:val="24"/>
          <w:lang w:val="es-CO"/>
        </w:rPr>
        <w:tab/>
        <w:t>No celebrar negocio jurídico alguno asociado a los valores que se reconozcan;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1.5</w:t>
      </w:r>
      <w:r w:rsidRPr="003A174E">
        <w:rPr>
          <w:rFonts w:ascii="Georgia" w:hAnsi="Georgia"/>
          <w:i/>
          <w:sz w:val="24"/>
          <w:szCs w:val="24"/>
          <w:lang w:val="es-CO"/>
        </w:rPr>
        <w:tab/>
        <w:t>Revelar y depurar en sus estados financieros los resultados del proceso de verificación y control.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w:t>
      </w:r>
      <w:r w:rsidRPr="003A174E">
        <w:rPr>
          <w:rFonts w:ascii="Georgia" w:hAnsi="Georgia"/>
          <w:i/>
          <w:sz w:val="24"/>
          <w:szCs w:val="24"/>
          <w:lang w:val="es-CO"/>
        </w:rPr>
        <w:tab/>
        <w:t xml:space="preserve">La entidad interesada deberá someter las cuentas objeto de la solicitud a un proceso de auditoría especial. Las condiciones, metodología detallada y tablas de referencia en que se realizará dicha auditoría deberán ser informadas a las entidades interesadas de forma previa a la firma del contrato de transacción. Los </w:t>
      </w:r>
      <w:r w:rsidRPr="003A174E">
        <w:rPr>
          <w:rFonts w:ascii="Georgia" w:hAnsi="Georgia"/>
          <w:i/>
          <w:sz w:val="24"/>
          <w:szCs w:val="24"/>
          <w:lang w:val="es-CO"/>
        </w:rPr>
        <w:lastRenderedPageBreak/>
        <w:t xml:space="preserve">costos de esta auditoría deberán ser sufragados por la entidad recobrante. El Ministerio de Salud y Protección Social fijará los términos y condiciones para el cumplimiento de esta obligación.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w:t>
      </w:r>
      <w:r w:rsidRPr="003A174E">
        <w:rPr>
          <w:rFonts w:ascii="Georgia" w:hAnsi="Georgia"/>
          <w:i/>
          <w:sz w:val="24"/>
          <w:szCs w:val="24"/>
          <w:lang w:val="es-CO"/>
        </w:rPr>
        <w:tab/>
        <w:t>El monto a pagar por servicios y tecnologías de salud no financiadas con cargo a la UPC que resulten aprobados en el proceso de auditoría, serán reconocidos conforme a la metodología de valores que para el efecto defina el Ministerio de Salud y Protección Social.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w:t>
      </w:r>
      <w:r w:rsidRPr="003A174E">
        <w:rPr>
          <w:rFonts w:ascii="Georgia" w:hAnsi="Georgia"/>
          <w:i/>
          <w:sz w:val="24"/>
          <w:szCs w:val="24"/>
          <w:lang w:val="es-CO"/>
        </w:rPr>
        <w:tab/>
        <w:t>La ADRES compensará los valores que resulten a favor de las EPS o IPS con las obligaciones que la entidad le adeude como producto del proceso de reintegro de recursos.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w:t>
      </w:r>
      <w:r w:rsidRPr="003A174E">
        <w:rPr>
          <w:rFonts w:ascii="Georgia" w:hAnsi="Georgia"/>
          <w:i/>
          <w:sz w:val="24"/>
          <w:szCs w:val="24"/>
          <w:lang w:val="es-CO"/>
        </w:rPr>
        <w:tab/>
        <w:t>La ADRES aprobará los valores a pagar a la entidad recobrante.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financiar los valores aprobados por este mecanismo y las deudas reconocidas en el proceso liquidatario de CAPRECOM y los contratos de salud del FOMAG liquidados en la vigencia 2019, serán reconocidos como deuda pública y podrán ser pagadas con cargo al servicio de deuda pública del Presupuesto General de la Nación o mediante operaciones de crédito público. De atenderse con operaciones de crédito público, la Dirección General de Crédito Público y Tesoro Nacional del Ministerio de Hacienda y Crédito Público administrará, en una cuenta independiente, el cupo de emisión de deuda que se destine a la atención de las obligaciones de pago originadas en este artículo. Las operaciones de crédito público no implican operación presupuestal y solo deberá presupuestarse para efectos de su redención y pago de intereses. Para los efectos previstos en este inciso la Dirección General de Crédito Público y Tesoro Nacional estará facultada para realizar las operaciones necesarias en el mercado monetario y de deuda pública.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 ADRES podrá adelantar directamente o contratar con un tercero la auditoría del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 resultado del saneamiento de que trata el presente artículo deberá reflejarse en los estados financieros de las entidades involucradas, dando cumplimiento a las normas de contabilidad, de información financiera y demás instrucciones vigentes sobre la materia, de tal forma que los estados financieros reflejen la realidad económica de estas entidades. La Superintendencia Nacional de Salud implementará un sistema de seguimiento que permita que el saneamiento se vea reflejado en los estados financieros de las Entidades Promotoras de Salud - EPS y de las Instituciones Prestadoras de Servicios - IPS. Los responsables de las Instituciones Prestadoras de Servicios de Salud públicas que en el marco de este mecanismo apliquen lo dispuesto en el presente parágrafo, no incurrirán en falta disciplinaria, fiscal o penal.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El incumplimiento de esta obligación dará lugar a las sanciones contenidas en la Ley 1949 de 2019. Los representantes legales, administradores, contadores y revisores fiscales que ordenen, toleren, hagan o encubran falsedades en los balances, incurrirán en las sanciones previstas en la Ley 599 de 2000, así como fraudes y los demás relacionados que se configuren de acuerdo a su ocurrencia.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Para el pago de los servicios y tecnologías no financiados con recursos de la UPC indicados en el literal c del artículo 73 de la Ley 1753 de 2015, podrán ser reconocidos con cargos los instrumentos de deuda pública definidos en 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Los beneficiarios de este mecanismo cederán su titularidad, cuando tengan deudas asociadas a la prestación de servicios y tecnologías no financiados con la UPC del régimen contributivo, a los agentes del Sistema General de Seguridad Social en Salud - SGSSS que hayan prestado o suministrado dichos servicios, tales como las Instituciones Prestadoras de Servicios de Salud, quienes a su vez priorizarán las deudas laborales, en caso de tenerlas. Como requisito para la cesión de su titularidad las EPS deberán acreditar haber surtido la conciliación de las cuentas a pagar.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QUINTO.</w:t>
      </w:r>
      <w:r w:rsidRPr="003A174E">
        <w:rPr>
          <w:rFonts w:ascii="Georgia" w:hAnsi="Georgia"/>
          <w:i/>
          <w:sz w:val="24"/>
          <w:szCs w:val="24"/>
          <w:lang w:val="es-CO"/>
        </w:rPr>
        <w:t xml:space="preserve"> En caso de controversias judiciales la actualización de los valores resultantes tendrá en cuenta únicamente el Índice de Precios al Consumidor – IPC sin lugar a intereses de mora.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PARAGRAFO SEXTO.</w:t>
      </w:r>
      <w:r w:rsidRPr="003A174E">
        <w:rPr>
          <w:rFonts w:ascii="Georgia" w:hAnsi="Georgia"/>
          <w:i/>
          <w:sz w:val="24"/>
          <w:szCs w:val="24"/>
          <w:lang w:val="es-CO"/>
        </w:rPr>
        <w:t xml:space="preserve"> Para el trámite de presentación, registro, aprobación o reconocimiento de valores recobrados mediante factura o cualquier documento que soporte el cobro por este mecanismo, se tendrá en cuenta lo dispuesto en Ley 599 de 2000 en términos de configuración de conductas relacionadas con la comisión de falsedades, inconsistencias, adulteraciones o cualquier situación fraudulenta o irregular constitutiva de una sanción penal, y serán puestas en conocimiento de la autoridad competente por parte de la persona que lo conozca.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Pr>
          <w:rFonts w:ascii="Georgia" w:hAnsi="Georgia"/>
          <w:b/>
          <w:bCs/>
          <w:i/>
          <w:sz w:val="24"/>
          <w:szCs w:val="24"/>
          <w:lang w:val="es-CO"/>
        </w:rPr>
        <w:t>ARTÍCULO 241</w:t>
      </w:r>
      <w:r w:rsidRPr="003A174E">
        <w:rPr>
          <w:rFonts w:ascii="Georgia" w:hAnsi="Georgia"/>
          <w:b/>
          <w:bCs/>
          <w:i/>
          <w:sz w:val="24"/>
          <w:szCs w:val="24"/>
          <w:lang w:val="es-CO"/>
        </w:rPr>
        <w:t xml:space="preserve">º. SANEAMIENTO FINANCIERO DEL SECTOR SALUD EN LAS ENTIDADES TERRITORIALES. </w:t>
      </w:r>
      <w:r w:rsidRPr="003A174E">
        <w:rPr>
          <w:rFonts w:ascii="Georgia" w:hAnsi="Georgia"/>
          <w:bCs/>
          <w:i/>
          <w:sz w:val="24"/>
          <w:szCs w:val="24"/>
          <w:lang w:val="es-CO"/>
        </w:rPr>
        <w:t>Para efectos de lograr el saneamiento definitivo de las cuentas de servicios y tecnologías en salud no financiadas por la UPC del régimen subsidiado prestados hasta el 31 de diciembre de 2019, deberán cumplirse las siguientes reglas:</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1. Para determinar las deudas por servicios y tecnologías en salud no financiadas con cargo a la UPC de los afiliados al régimen subsidiado, la entidad territorial deberá adelantar el proceso de auditoría que le permita determinar si es procedente el pago.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En este proceso la entidad territorial verificará que los servicios y tecnologías en salud no financiados con cargo a la UPC hayan sido prescritas por parte de un </w:t>
      </w:r>
      <w:r w:rsidRPr="003A174E">
        <w:rPr>
          <w:rFonts w:ascii="Georgia" w:hAnsi="Georgia"/>
          <w:bCs/>
          <w:i/>
          <w:sz w:val="24"/>
          <w:szCs w:val="24"/>
          <w:lang w:val="es-CO"/>
        </w:rPr>
        <w:lastRenderedPageBreak/>
        <w:t>profesional de la salud u ordenados mediante un fallo de tutela facturadas por el prestador o proveedor y suministradas al usuario, para lo cual deberán acogerse a la reglamentación que expida el Ministerio de Salud y Protección Social en virtud del literal d) del artículo anterior.</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Las entidades territoriales deberán adoptar lo dispuesto por la Nación para el proceso de auditoría y posterior pago de los servicios y tecnologías en salud no financiadas con cargo a la UPC del régimen contributivo.</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2. No serán objeto de saneamiento las obligaciones caducadas o prescritas, aquellas que correspondan a insumos recobrados sin observancia del principio de integralidad, los cobros o recobros que se encuentren involucrados en investigación por la Contraloría General de la República, la Fiscalía General de la Nación y/o la Superintendencia Nacional de Salud o sus referentes territoriales, ni los servicios y tecnologías en salud en los que se advierta alguno de los criterios definidos en el artículo 15 de la Ley 1751 de 2015.</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3. Las entidades territoriales podrán disponer de las siguientes fuentes de financiación: rentas cedidas, excedentes de las rentas cedidas, saldos de las cuentas maestras del régimen subsidiado en salud, excedentes del Sistema General de Participaciones de Salud Pública, excedentes y saldos no comprometidos con destino a la prestación de servicios en lo no cubierto con subsidios a la demanda del Sistema General de Participaciones, los recursos de transferencias realizadas por el Ministerio de Salud y Protección Social con cargo a los recursos del  Fondo de Solidaridad y Garantías - FOSYGA de vigencias anteriores y los excedentes del Fondo Nacional de Pensiones de las Entidades Territoriales - FONPET del sector salud financiados con Lotto en línea, sin perjuicio de los usos ya definidos en la ley y del Sistema General de Regalías cuando lo estimen pertinente.</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 </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4. La entidad territorial creará un fondo al cual deberá transferir los recursos mencionados en el anterior numeral para financiar las obligaciones de que trata el presente artículo.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5. La entidad territorial deberá ajustar su Marco Fiscal de Mediano Plazo en el curso de la vigencia 2019, en lo referente a la propuesta de ingresos y gastos requerido para dar cumplimiento al saneamiento de las deudas por servicios y tecnologías en salud no financiadas con cargo a la UPC del régimen subsidiado.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6. Cuando se trate de servicios y tecnologías en salud prestados con anterioridad a la entrada en vigencia de la Resolución 1479 de 2015 del Ministerio de Salud y Protección Social, los recobros por dichos servicios y tecnologías deberán ser radicadas por la Entidad Promotora de Salud ante la entidad territorial, para lo cual tendrán un plazo máximo de nueve (9) meses a partir de la entrada en vigencia de la presente Ley.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lastRenderedPageBreak/>
        <w:t>7. Cuando se trate de servicios prestados con posterioridad a la entrada en vigencia de la Resolución 1479 de 2015 del Ministerio de Salud y Protección Social, los cobros por servicios y tecnologías no financiados con cargo a la UPC deberán reconocerse a través de los modelos establecidos en el capítulo I y II de la mencionada resolución. Para ello, las Entidades Promotoras de Salud tendrán que trasladar todas las facturas a la entidad territorial, antes del 31 de diciembre de 2019, so pena de entenderse subrogado en la posición de la entidad territorial.</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8. Los servicios y tecnologías no financiados con cargo a la UPC prestados con posterioridad a la entrada en vigencia de la presente Ley y hasta el 31 de diciembre de 2019, deberán ser recobrados a las entidades territoriales dentro de los seis (6) meses siguientes a su prestación. De lo contrario, no podrán ser objeto del saneamiento dispuesto en este artículo.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Cumplidas las reglas señaladas en los numerales anteriores, la entidad territorial procederá a suscribir los acuerdos de pago con las EPS e IPS de acuerdo con la disponibilidad de recursos del fondo constituido según lo dispuesto en los numerales 3 y 4 de este artículo.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La Nación podrá cofinanciar el pago de las deudas de los servicios y tecnologías en salud no financiadas con cargo a la UPC del régimen subsidiado que agoten el procedimiento descrito en este artículo, siempre y cuando se cumplan las siguientes condiciones: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a) Que se hayan agotado las fuentes de financiación con las que cuenta la entidad territorial para el pago de estas obligaciones. Para el efecto el Ministerio de Hacienda y Crédito Público, con el apoyo del Ministerio de Salud y Protección Social y del Departamento Nacional de Planeación, evaluará el esfuerzo fiscal de las entidades territoriales para el pago de estos pasivos y definirá el monto a financiar premiando a aquellas que hayan realizado mayores esfuerzos.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b) Que la entidad territorial suscriba un contrato de transacción con la entidad acreedora que incluya como mínimo: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i) La renuncia expresa de la entidad que esté realizando el cobro o recobro a instaurar o desistir de cualquier acción judicial o administrativa relacionada con la solicitud de pago elevada.</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ii) La obligación de la entidad territorial y la entidad que está realizando el recobro de revelar y depurar en sus estados financieros los resultados del proceso de verificación y control.</w:t>
      </w: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iii) La renuncia expresa de la entidad que esté realizando el cobro o recobro a cualquier tipo de interés y otros gastos, independientemente de su denominación sobre las cuentas presentadas, al momento de radicarlas por este mecanismo.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lastRenderedPageBreak/>
        <w:t>Para cofinanciar el pago de las deudas de los servicios y tecnologías en salud no financiadas con cargo a la UPC del régimen subsidiado, autorícese al Gobierno nacional para realizar operaciones de crédito en las vigencias 2019 y 2020. La Dirección General de Crédito Público y Tesoro Nacional del Ministerio de Hacienda y Crédito Público, administrará, en una cuenta independiente, el cupo de emisión de deuda que se destine a la atención de las obligaciones de pago originadas en este artículo. Para los efectos previstos en este inciso, la Dirección General de Crédito Público y Tesoro Nacional estará facultada para realizar las operaciones necesarias en el mercado monetario y de deuda pública. Las operaciones de crédito público no implican operación presupuestal y solo deberá presupuestarse para efectos de su redención y pago de intereses. El Gobierno nacional reglamentará los términos y condiciones en los cuales operará la cofinanciación de la Nación.</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Dentro de los seis (6) meses siguientes a la fecha de las operaciones de crédito público de que trata el inciso anterior, se deberá contratar una auditoría que valide los pagos efectuados, la cual será financiada con los recursos que la Nación asigne para tal fin. En el evento que la entidad territorial incumpla la obligación de contratar la auditoría, la totalidad del valor de la cofinanciación será reintegrado con los recursos propios de la entidad territorial. El reintegro comprenderá los intereses moratorios causados desde la fecha del pago por parte de la Nación, calculados a una tasa igual al doble del interés bancario corriente.</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En el evento en que la auditoría concluya que hubo pagos improcedentes, la Nación realizará el proceso de reintegro de recursos por pago de lo no debido.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 xml:space="preserve">PARÁGRAFO PRIMERO. </w:t>
      </w:r>
      <w:r w:rsidRPr="003A174E">
        <w:rPr>
          <w:rFonts w:ascii="Georgia" w:hAnsi="Georgia"/>
          <w:bCs/>
          <w:i/>
          <w:sz w:val="24"/>
          <w:szCs w:val="24"/>
          <w:lang w:val="es-CO"/>
        </w:rPr>
        <w:t xml:space="preserve">Los servicios y tecnologías en salud no financiadas con cargo a la UPC que resulten aprobados mediante lo definido en el presente artículo no podrán exceder el valor máximo definido por el Gobierno nacional.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 xml:space="preserve">PARÁGRAFO SEGUNDO. </w:t>
      </w:r>
      <w:r w:rsidRPr="003A174E">
        <w:rPr>
          <w:rFonts w:ascii="Georgia" w:hAnsi="Georgia"/>
          <w:bCs/>
          <w:i/>
          <w:sz w:val="24"/>
          <w:szCs w:val="24"/>
          <w:lang w:val="es-CO"/>
        </w:rPr>
        <w:t>El resultado de los procesos de saneamiento de que trata el presente artículo deberá reflejarse en los estados financieros de las entidades involucradas, dando cumplimiento a las normas de contabilidad, de información financiera y demás instrucciones vigentes sobre la materia, de tal forma que los estados financieros reflejen la realidad económica de estas entidades. La Superintendencia Nacional de Salud implementará un sistema de seguimiento que permita que el saneamiento se refleje en los estados financieros de las EPS y de las IPS.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El incumplimiento de esta obligación dará lugar a las sanciones contenidas en la Ley 1949 de 2019. Los representantes legales, administradores, contadores y revisores fiscales que ordenen, toleren, hagan o encubran falsedades cometidas en los balances, incurrirán en las sanciones previstas en la Ley 599 de 2000, así como fraudes y los demás relacionados que se configuren de acuerdo con su ocurrencia.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lastRenderedPageBreak/>
        <w:t xml:space="preserve">PARÁGRAFO TERCERO. </w:t>
      </w:r>
      <w:r w:rsidRPr="003A174E">
        <w:rPr>
          <w:rFonts w:ascii="Georgia" w:hAnsi="Georgia"/>
          <w:bCs/>
          <w:i/>
          <w:sz w:val="24"/>
          <w:szCs w:val="24"/>
          <w:lang w:val="es-CO"/>
        </w:rPr>
        <w:t>Los beneficiarios, a través de los instrumentos de crédito público, cederán su titularidad, cuando tengan deudas asociadas a la prestación de servicios y tecnologías no financiados con la UPC del régimen subsidiado, a los agentes del Sistema General de Seguridad Social en Salud - SGSSS que hayan prestado o suministrado dichos servicios, tales como las Instituciones Prestadoras de Servicios de Salud, quienes a su vez priorizarán las deudas laborales, en caso de tenerlas. Como requisito para la cesión de su titularidad, las EPS deberán acreditar haber surtido la conciliación de las cuentas a pagar.</w:t>
      </w:r>
      <w:r w:rsidRPr="003A174E">
        <w:rPr>
          <w:rFonts w:ascii="Georgia" w:hAnsi="Georgia"/>
          <w:b/>
          <w:bCs/>
          <w:i/>
          <w:sz w:val="24"/>
          <w:szCs w:val="24"/>
          <w:lang w:val="es-CO"/>
        </w:rPr>
        <w:t xml:space="preserve"> </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sidRPr="003A174E">
        <w:rPr>
          <w:rFonts w:ascii="Georgia" w:hAnsi="Georgia"/>
          <w:b/>
          <w:bCs/>
          <w:i/>
          <w:sz w:val="24"/>
          <w:szCs w:val="24"/>
          <w:lang w:val="es-CO"/>
        </w:rPr>
        <w:t xml:space="preserve">PARÁGRAFO CUARTO. </w:t>
      </w:r>
      <w:r w:rsidRPr="003A174E">
        <w:rPr>
          <w:rFonts w:ascii="Georgia" w:hAnsi="Georgia"/>
          <w:bCs/>
          <w:i/>
          <w:sz w:val="24"/>
          <w:szCs w:val="24"/>
          <w:lang w:val="es-CO"/>
        </w:rPr>
        <w:t>Los responsables de las Instituciones Prestadoras de Servicios de Salud públicas que en el marco de este mecanismo apliquen lo dispuesto en el presente artículo, no incurrirán en falta disciplinaria, fiscal o penal.</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 xml:space="preserve">PARAGRAFO QUINTO. </w:t>
      </w:r>
      <w:r w:rsidRPr="003A174E">
        <w:rPr>
          <w:rFonts w:ascii="Georgia" w:hAnsi="Georgia"/>
          <w:bCs/>
          <w:i/>
          <w:sz w:val="24"/>
          <w:szCs w:val="24"/>
          <w:lang w:val="es-CO"/>
        </w:rPr>
        <w:t>Para el trámite de presentación, registro, aprobación o reconocimiento de valores del cobro o recobro mediante factura o cualquier documento que soporte el cobro por este mecanismo, se tendrá en cuenta lo dispuesto en Ley 599 de 2000 en términos de configuración de conductas relacionadas con la comisión de falsedades, inconsistencias, adulteraciones o cualquier situación fraudulenta o irregular constitutiva de una sanción penal, y serán puestas en conocimiento de la autoridad competente por parte de la persona que lo conozca.</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242</w:t>
      </w:r>
      <w:r w:rsidRPr="003A174E">
        <w:rPr>
          <w:rFonts w:ascii="Georgia" w:hAnsi="Georgia"/>
          <w:b/>
          <w:bCs/>
          <w:i/>
          <w:sz w:val="24"/>
          <w:szCs w:val="24"/>
          <w:lang w:val="es-CO"/>
        </w:rPr>
        <w:t>º. GIRO DIRECTO</w:t>
      </w:r>
      <w:r w:rsidRPr="003A174E">
        <w:rPr>
          <w:rFonts w:ascii="Georgia" w:hAnsi="Georgia"/>
          <w:i/>
          <w:sz w:val="24"/>
          <w:szCs w:val="24"/>
          <w:lang w:val="es-CO"/>
        </w:rPr>
        <w:t xml:space="preserve">. La Administradora de los Recursos del Sistema General de Seguridad Social en Salud - ADRES en nombre de las Entidades Promotoras de Salud y demás Entidades Obligadas a Compensar, podrá realizar el giro directo de los recursos de las Unidades de Pago por Capitación - UPC de los regímenes contributivo y subsidiado destinadas a la prestación de servicios de salud, a todas las instituciones y entidades que presten dichos servicios y que provean tecnologías incluidas en el plan de beneficios, así como a los proveedores, de conformidad con los porcentajes y condiciones que defina el Ministerio de Salud y Protección Social. También se podrá aplicar giro directo de los recursos asociados al pago de los servicios y tecnologías de salud no financiados con recursos de la UPC para los regímenes contributivo y subsidiado, según lo dispuesto en 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PRIMERO. </w:t>
      </w:r>
      <w:r w:rsidRPr="003A174E">
        <w:rPr>
          <w:rFonts w:ascii="Georgia" w:hAnsi="Georgia"/>
          <w:i/>
          <w:sz w:val="24"/>
          <w:szCs w:val="24"/>
          <w:lang w:val="es-CO"/>
        </w:rPr>
        <w:t>La información de este mecanismo será de consulta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SEGUNDO. </w:t>
      </w:r>
      <w:r w:rsidRPr="003A174E">
        <w:rPr>
          <w:rFonts w:ascii="Georgia" w:hAnsi="Georgia"/>
          <w:i/>
          <w:sz w:val="24"/>
          <w:szCs w:val="24"/>
          <w:lang w:val="es-CO"/>
        </w:rPr>
        <w:t xml:space="preserve">Sin perjuicio de las funciones de Inspección Vigilancia y Control de la Superintendencia Nacional de Salud, el Ministerio de Salud y Protección Social realizará el seguimiento permanente a la oportunidad del giro de los recursos, así como a su programación, destinación y ejecución por las Entidades Administradoras de Planes de Beneficios, instituciones prestadoras y proveedores de tecnologías en salud, últimos responsables de estos procesos.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lastRenderedPageBreak/>
        <w:t xml:space="preserve">PARÁGRAFO TERCERO. </w:t>
      </w:r>
      <w:r w:rsidRPr="003A174E">
        <w:rPr>
          <w:rFonts w:ascii="Georgia" w:hAnsi="Georgia"/>
          <w:i/>
          <w:sz w:val="24"/>
          <w:szCs w:val="24"/>
          <w:lang w:val="es-CO"/>
        </w:rPr>
        <w:t>Lo dispuesto en el presente artículo en lo referente a los servicios y tecnologías no financiadas con cargo a la UPC del régimen subsidiado comenzará a operar a partir del 1 de enero de 2020.</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No estarán sujetas a lo dispuesto en este artículo las EPS adaptadas del Estado y aquellas que en su desempeño financiero cumplan con el patrimonio adecuado.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243</w:t>
      </w:r>
      <w:r w:rsidRPr="003A174E">
        <w:rPr>
          <w:rFonts w:ascii="Georgia" w:hAnsi="Georgia"/>
          <w:b/>
          <w:bCs/>
          <w:i/>
          <w:sz w:val="24"/>
          <w:szCs w:val="24"/>
          <w:lang w:val="es-CO"/>
        </w:rPr>
        <w:t>º. EFICIENCIA DEL GASTO ASOCIADO A LA PRESTACIÓN DEL SERVICIO Y TECNOLOGÍAS NO FINANCIADOS CON CARGO A LOS RECURSOS DE LA UPC.</w:t>
      </w:r>
      <w:r w:rsidRPr="003A174E">
        <w:rPr>
          <w:rFonts w:ascii="Georgia" w:hAnsi="Georgia"/>
          <w:i/>
          <w:sz w:val="24"/>
          <w:szCs w:val="24"/>
          <w:lang w:val="es-CO"/>
        </w:rPr>
        <w:t xml:space="preserve"> Los servicios y tecnologías en salud no financiados con cargo a los recursos de la UPC serán gestionados por las EPS quienes los financiarán con cargo al techo o presupuesto máximo que les transfiera para tal efecto la Administradora de los Recursos del Sistema General de Seguridad Social en Salud - ADRES. El techo o presupuesto máximo anual por EPS se establecerá de acuerdo a la metodología que defina el Ministerio de Salud y Protección Social, la cual considerará incentivos al uso eficiente de los recursos. En ningún caso, el cumplimiento del techo por parte de las EPS deberá afectar la prestación del servicio. Lo anterior, sin perjuicio del mecanismo de negociación centralizada contemplado en el artículo 71 de la Ley 1753 de 2015.</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las Entidades Promotoras de Salud - EPS considerarán la regulación de precios, aplicarán los valores máximos por tecnología o servicio que defina el Ministerio de Salud y Protección Social y remitirán la información que éste requiera. La ADRES ajustará sus procesos administrativos, operativos, de verificación, control y auditoría para efectos de implementar lo previsto en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Las EPS podrán implementar mecanismos financieros y de seguros para mitigar el riesgo asociado a la gestión de los servicios y tecnologías no financiados con cargo a los recursos de la UPC.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244</w:t>
      </w:r>
      <w:r w:rsidRPr="003A174E">
        <w:rPr>
          <w:rFonts w:ascii="Georgia" w:hAnsi="Georgia"/>
          <w:b/>
          <w:bCs/>
          <w:i/>
          <w:sz w:val="24"/>
          <w:szCs w:val="24"/>
          <w:lang w:val="es-CO"/>
        </w:rPr>
        <w:t>º. INCENTIVOS A LA CALIDAD Y LOS RESULTADOS EN SALUD.</w:t>
      </w:r>
      <w:r w:rsidRPr="003A174E">
        <w:rPr>
          <w:rFonts w:ascii="Georgia" w:hAnsi="Georgia"/>
          <w:i/>
          <w:sz w:val="24"/>
          <w:szCs w:val="24"/>
          <w:lang w:val="es-CO"/>
        </w:rPr>
        <w:t xml:space="preserve"> El Ministerio de Salud y Protección Social diseñará e implementará un mecanismo de pago por resultados en salud, el cual tendrá como mínimo un sistema de información, seguimiento y monitoreo basado en indicadores trazadores.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efecto de lo dispuesto en este artículo, la Administradora de los recursos del Sistema General de Seguridad Social en Salud – ADRES, podrá girar los recursos que se determinen por este mecanismo a las Entidades Promotoras de Salud - EPS o a las Instituciones Prestadoras de Salud - IPS, en función de los resultados en salud.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Los recursos destinados para el mecanismo de pago por resultado, serán los equivalentes a los asignados en cumplimiento del artículo 222 de la Ley 100 de 1993 a la entrada en vigencia de la presente Ley. El Ministerio de Salud y Protección Social establecerá la variación de estos recursos, que en todo caso deberán tener en cuenta la suficiencia de la UPC.</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Adicionalmente se establecerán incentivos de reconocimiento social y empresarial por resultados con calidad para los distintos actores del sistema de salud.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Salud y Protección Social podrá con cargo a los recursos del mecanismo, contratar a un tercero independiente que evalúe el cumplimiento de dichos resultados.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245</w:t>
      </w:r>
      <w:r w:rsidRPr="003A174E">
        <w:rPr>
          <w:rFonts w:ascii="Georgia" w:hAnsi="Georgia"/>
          <w:b/>
          <w:i/>
          <w:sz w:val="24"/>
          <w:szCs w:val="24"/>
          <w:lang w:val="es-CO"/>
        </w:rPr>
        <w:t>º. SOLIDARIDAD EN EL SISTEMA DE SALUD.</w:t>
      </w:r>
      <w:r w:rsidRPr="003A174E">
        <w:rPr>
          <w:rFonts w:ascii="Georgia" w:hAnsi="Georgia"/>
          <w:i/>
          <w:sz w:val="24"/>
          <w:szCs w:val="24"/>
          <w:lang w:val="es-CO"/>
        </w:rPr>
        <w:t xml:space="preserve"> Los afiliados al Régimen Subsidiado en el Sistema General de Seguridad Social en Salud son las personas sin capacidad de pago para cubrir el monto total de la cotización. La población que sea clasificada como pobre o vulnerable según el Sistema de Identificación de Potenciales Beneficiarios de Programas Sociales –SISBEN, recibirá subsidio pleno y por tanto no deberá contribuir. Los afiliados al Régimen Subsidiado de salud que, de acuerdo al SISBÉN, sean clasificados como no pobres o no vulnerables deberán contribuir solidariamente al sistema, de acuerdo a su capacidad de pago parcial, definida según el mismo SISBÉN.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recaudo de la contribución se efectuará por los canales que defina el Ministerio de Salud y Protección Social, recursos que se girarán a la Administradora de los Recursos del Sistema General de Seguridad Social en Salud – ADRES, donde harán unidad de caja para el pago del aseguramiento.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base gravable será la Unidad de Pago por Capitación – UPC del Régimen Subsidiado. El Ministerio de Salud y Protección Social fijará unas tarifas progresivas entre el 1% y el 15%, de acuerdo con la capacidad de pago parcial, las cuales se aplicarán a grupos de capacidad similar.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Cuando se identifiquen personas afiliadas al Régimen Subsidiado con capacidad de pago para cubrir el monto total de la cotización deberán afiliarse al Régimen Contributivo.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Les corresponderá a las alcaldías municipales garantizar que los afiliados al régimen subsidiado en salud cumplan con los requisitos legales para pertenecer a dicho régimen, sin perjuicio de las competencias de la Unidad de Gestión Pensional y Parafiscales - UGPP.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En caso de que se determine que el subsidio en salud se obtuvo mediante engaño sobre las condiciones requeridas para su concesión o callando total o parcialmente la verdad, se compulsará copia del expediente a la Fiscalía General de la Nación.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Los afiliados al Régimen Subsidiado del Sistema General de Seguridad Social en Salud podrán adquirir un seguro para proteger su ingreso de subsistencia en momentos de enfermedad, según las condiciones que defina el Ministerio de Salud y Protección Social.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246</w:t>
      </w:r>
      <w:r w:rsidRPr="003A174E">
        <w:rPr>
          <w:rFonts w:ascii="Georgia" w:hAnsi="Georgia"/>
          <w:b/>
          <w:i/>
          <w:sz w:val="24"/>
          <w:szCs w:val="24"/>
          <w:lang w:val="es-CO"/>
        </w:rPr>
        <w:t xml:space="preserve">º. INTEGRANTES DEL SISTEMA GENERAL DE SEGURIDAD SOCIAL EN SALUD. </w:t>
      </w:r>
      <w:r w:rsidRPr="003A174E">
        <w:rPr>
          <w:rFonts w:ascii="Georgia" w:hAnsi="Georgia"/>
          <w:i/>
          <w:sz w:val="24"/>
          <w:szCs w:val="24"/>
          <w:lang w:val="es-CO"/>
        </w:rPr>
        <w:t xml:space="preserve">Adiciónese el siguiente numeral al artículo 155 de la Ley 100 de 1993,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Operadores logísticos de tecnologías en salud y gestores farmacéuticos.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Salud y Protección Social reglamentará los requisitos financieros y de operación de los agentes de los que trata este numeral. La Superintendencia de Industria y Comercio, en el desarrollo de sus funciones, garantizará la libre y leal competencia económica, mediante la prohibición de actos y conductas de competencia desleal.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247</w:t>
      </w:r>
      <w:r w:rsidRPr="003A174E">
        <w:rPr>
          <w:rFonts w:ascii="Georgia" w:hAnsi="Georgia"/>
          <w:b/>
          <w:bCs/>
          <w:i/>
          <w:sz w:val="24"/>
          <w:szCs w:val="24"/>
          <w:lang w:val="es-CO"/>
        </w:rPr>
        <w:t>º. INGRESO BASE DE COTIZACIÓN -IBC DE LOS INDEPENDIENTES.</w:t>
      </w:r>
      <w:r w:rsidRPr="003A174E">
        <w:rPr>
          <w:rFonts w:ascii="Georgia" w:hAnsi="Georgia"/>
          <w:i/>
          <w:sz w:val="24"/>
          <w:szCs w:val="24"/>
          <w:lang w:val="es-CO"/>
        </w:rPr>
        <w:t xml:space="preserve">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 IVA. En estos casos será procedente la imputación de costos y deducciones siempre que se cumplan los criterios determinados en el artículo 107 del Estatuto Tributario y sin exceder los valores incluidos en la declaración de renta de la respectiva vigencia.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Gobierno nacional reglamentará el mecanismo para realizar la mensualización de que trata el presente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Para efectos de la determinación del ingreso base de cotización de los trabajadores independientes por cuenta propia y para quienes celebren contratos diferentes de prestación de servicios personales que impliquen subcontratación y/o compra de insumos o expensas, la Unidad de Gestión </w:t>
      </w:r>
      <w:r w:rsidRPr="003A174E">
        <w:rPr>
          <w:rFonts w:ascii="Georgia" w:hAnsi="Georgia"/>
          <w:i/>
          <w:sz w:val="24"/>
          <w:szCs w:val="24"/>
          <w:lang w:val="es-CO"/>
        </w:rPr>
        <w:lastRenderedPageBreak/>
        <w:t>Pensional y Parafiscales - UGPP deberá, atendiendo a los datos estadísticos producidos por la Dirección de Impuestos y Aduanas Nacionales - DIAN, por el Departamento Administrativo Nacional de Estadística, por el Banco de la República, por la Superintendencia de Sociedades u otras entidades cuyas estadísticas fueren aplicables, determinar un esquema de presunción de costos.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248</w:t>
      </w:r>
      <w:r w:rsidRPr="003A174E">
        <w:rPr>
          <w:rFonts w:ascii="Georgia" w:hAnsi="Georgia"/>
          <w:b/>
          <w:bCs/>
          <w:i/>
          <w:sz w:val="24"/>
          <w:szCs w:val="24"/>
          <w:lang w:val="es-CO"/>
        </w:rPr>
        <w:t xml:space="preserve">°. DEVOLUCIÓN DE APORTES AL SISTEMA GENERAL DE SEGURIDAD SOCIAL EN SALUD. </w:t>
      </w:r>
      <w:r w:rsidRPr="003A174E">
        <w:rPr>
          <w:rFonts w:ascii="Georgia" w:hAnsi="Georgia"/>
          <w:i/>
          <w:sz w:val="24"/>
          <w:szCs w:val="24"/>
          <w:lang w:val="es-CO"/>
        </w:rPr>
        <w:t>La devolución de los aportes del Sistema General de Seguridad Social en Salud producto de liquidaciones y reconocimientos sin justa causa realizados por las entidades reconocedoras o pagadoras de pensiones, en cualquier caso, deberá estar sometida al procedimiento definido para tal efecto por la ADRES, o quien haga sus veces. El derecho a la devolución prescribe en dos años contados a partir de la fecha de realizado el aporte.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249</w:t>
      </w:r>
      <w:r w:rsidRPr="003A174E">
        <w:rPr>
          <w:rFonts w:ascii="Georgia" w:hAnsi="Georgia"/>
          <w:b/>
          <w:bCs/>
          <w:i/>
          <w:sz w:val="24"/>
          <w:szCs w:val="24"/>
          <w:lang w:val="es-CO"/>
        </w:rPr>
        <w:t xml:space="preserve">°. ACUERDOS DE PAGO DE SERVICIOS Y TECNOLOGÍAS EN SALUD. </w:t>
      </w:r>
      <w:r w:rsidRPr="003A174E">
        <w:rPr>
          <w:rFonts w:ascii="Georgia" w:hAnsi="Georgia"/>
          <w:i/>
          <w:sz w:val="24"/>
          <w:szCs w:val="24"/>
          <w:lang w:val="es-CO"/>
        </w:rPr>
        <w:t>Con el fin de garantizar el derecho fundamental a la salud, la ADRES podrá, de manera transitoria y durante la vigencia de la presente Ley, suscribir acuerdos de pago con las EPS para atender el pago previo y/o acreencias por servicios y tecnologías en salud no incluidas en el Plan de Beneficios en Salud con cargo a la Unidad de Pago por Capitación del régimen contributivo prestados únicamente hasta el 31 de diciembre de 2019. Estos acuerdos de pago se registrarán como un pasivo en la contabilidad de la ADRES y se reconocerán como deuda pública y se podrán atender ya sea con cargo al servicio de la deuda del Presupuesto General de la Nación o mediante operaciones de crédito público. Este reconocimiento será por una sola vez, y para los efectos previstos en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De atenderse con operaciones de crédito público, la Dirección General de Crédito Público y Tesoro Nacional del Ministerio de Hacienda y Crédito Público administrará, en una cuenta independiente, el cupo de emisión de deuda que se destine a la atención de las obligaciones de pago originadas en este artículo. Para los efectos previstos en este inciso, la Dirección General de Crédito Público y Tesoro Nacional estará facultada para realizar las operaciones necesarias en el mercado monetario y de deuda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PRIMERO. </w:t>
      </w:r>
      <w:r w:rsidRPr="003A174E">
        <w:rPr>
          <w:rFonts w:ascii="Georgia" w:hAnsi="Georgia"/>
          <w:i/>
          <w:sz w:val="24"/>
          <w:szCs w:val="24"/>
          <w:lang w:val="es-CO"/>
        </w:rPr>
        <w:t xml:space="preserve">La ADRES será la entidad responsable de realizar las auditorías requeridas, así como el pago a las EPS o a las entidades que estas ordenen, de conformidad con los acuerdos de pago suscritos. Si durante el proceso </w:t>
      </w:r>
      <w:r w:rsidRPr="003A174E">
        <w:rPr>
          <w:rFonts w:ascii="Georgia" w:hAnsi="Georgia"/>
          <w:i/>
          <w:sz w:val="24"/>
          <w:szCs w:val="24"/>
          <w:lang w:val="es-CO"/>
        </w:rPr>
        <w:lastRenderedPageBreak/>
        <w:t>de auditoría se llegase a presentar valores en exceso a los pagados, las EPS deberán proceder al reintegro de los recursos correspondientes.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PARAGRAFO SEGUNDO. </w:t>
      </w:r>
      <w:r w:rsidRPr="003A174E">
        <w:rPr>
          <w:rFonts w:ascii="Georgia" w:hAnsi="Georgia"/>
          <w:i/>
          <w:sz w:val="24"/>
          <w:szCs w:val="24"/>
          <w:lang w:val="es-CO"/>
        </w:rPr>
        <w:t>Sin perjuicio de lo previsto en el primer inciso del presente artículo,</w:t>
      </w:r>
      <w:r w:rsidRPr="003A174E">
        <w:rPr>
          <w:rFonts w:ascii="Georgia" w:hAnsi="Georgia"/>
          <w:b/>
          <w:bCs/>
          <w:i/>
          <w:sz w:val="24"/>
          <w:szCs w:val="24"/>
          <w:lang w:val="es-CO"/>
        </w:rPr>
        <w:t xml:space="preserve"> </w:t>
      </w:r>
      <w:r w:rsidRPr="003A174E">
        <w:rPr>
          <w:rFonts w:ascii="Georgia" w:hAnsi="Georgia"/>
          <w:i/>
          <w:sz w:val="24"/>
          <w:szCs w:val="24"/>
          <w:lang w:val="es-CO"/>
        </w:rPr>
        <w:t>el Ministerio de Hacienda y Crédito Público, así como el Ministerio de Salud y Protección Social deberán asignar en las vigencias presupuestales con posterioridad a la expedición de la presente Ley, los recursos suficientes para el pago a las EPS, por las Acreencias adquiridas por servicios y tecnologías en salud no incluidas en el Plan de Beneficios en Salud con cargo a la Unidad de Pago por Capitación del régimen contributivo.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250</w:t>
      </w:r>
      <w:r w:rsidRPr="003A174E">
        <w:rPr>
          <w:rFonts w:ascii="Georgia" w:hAnsi="Georgia"/>
          <w:b/>
          <w:i/>
          <w:sz w:val="24"/>
          <w:szCs w:val="24"/>
          <w:lang w:val="es-CO"/>
        </w:rPr>
        <w:t xml:space="preserve">°. INTEROPERABILIDAD DE LA </w:t>
      </w:r>
      <w:r w:rsidRPr="003A174E">
        <w:rPr>
          <w:rFonts w:ascii="Georgia" w:hAnsi="Georgia"/>
          <w:b/>
          <w:i/>
          <w:sz w:val="24"/>
          <w:szCs w:val="24"/>
        </w:rPr>
        <w:t xml:space="preserve">HISTORIA CLÍNICA. </w:t>
      </w:r>
      <w:r w:rsidRPr="003A174E">
        <w:rPr>
          <w:rFonts w:ascii="Georgia" w:hAnsi="Georgia"/>
          <w:i/>
          <w:sz w:val="24"/>
          <w:szCs w:val="24"/>
        </w:rPr>
        <w:t>El Ministerio de Salud</w:t>
      </w:r>
      <w:r w:rsidRPr="003A174E">
        <w:rPr>
          <w:rFonts w:ascii="Georgia" w:hAnsi="Georgia"/>
          <w:i/>
          <w:sz w:val="24"/>
          <w:szCs w:val="24"/>
          <w:lang w:val="es-ES"/>
        </w:rPr>
        <w:t xml:space="preserve"> y Protección Social</w:t>
      </w:r>
      <w:r w:rsidRPr="003A174E">
        <w:rPr>
          <w:rFonts w:ascii="Georgia" w:hAnsi="Georgia"/>
          <w:i/>
          <w:sz w:val="24"/>
          <w:szCs w:val="24"/>
        </w:rPr>
        <w:t xml:space="preserve"> adoptará un</w:t>
      </w:r>
      <w:r w:rsidRPr="003A174E">
        <w:rPr>
          <w:rFonts w:ascii="Georgia" w:hAnsi="Georgia"/>
          <w:i/>
          <w:sz w:val="24"/>
          <w:szCs w:val="24"/>
          <w:lang w:val="es-ES"/>
        </w:rPr>
        <w:t xml:space="preserve"> mecanismo </w:t>
      </w:r>
      <w:r w:rsidRPr="003A174E">
        <w:rPr>
          <w:rFonts w:ascii="Georgia" w:hAnsi="Georgia"/>
          <w:i/>
          <w:sz w:val="24"/>
          <w:szCs w:val="24"/>
        </w:rPr>
        <w:t>electrónic</w:t>
      </w:r>
      <w:r w:rsidRPr="003A174E">
        <w:rPr>
          <w:rFonts w:ascii="Georgia" w:hAnsi="Georgia"/>
          <w:i/>
          <w:sz w:val="24"/>
          <w:szCs w:val="24"/>
          <w:lang w:val="es-ES"/>
        </w:rPr>
        <w:t>o que desarrolle la interoperabilidad de la historia clínica.</w:t>
      </w:r>
      <w:r w:rsidRPr="003A174E">
        <w:rPr>
          <w:rFonts w:ascii="Georgia" w:hAnsi="Georgia"/>
          <w:i/>
          <w:sz w:val="24"/>
          <w:szCs w:val="24"/>
        </w:rPr>
        <w:t xml:space="preserve"> </w:t>
      </w:r>
      <w:r w:rsidRPr="003A174E">
        <w:rPr>
          <w:rFonts w:ascii="Georgia" w:hAnsi="Georgia"/>
          <w:i/>
          <w:sz w:val="24"/>
          <w:szCs w:val="24"/>
          <w:lang w:val="es-ES"/>
        </w:rPr>
        <w:t>D</w:t>
      </w:r>
      <w:r w:rsidRPr="003A174E">
        <w:rPr>
          <w:rFonts w:ascii="Georgia" w:hAnsi="Georgia"/>
          <w:i/>
          <w:sz w:val="24"/>
          <w:szCs w:val="24"/>
        </w:rPr>
        <w:t xml:space="preserve">icho </w:t>
      </w:r>
      <w:r w:rsidRPr="003A174E">
        <w:rPr>
          <w:rFonts w:ascii="Georgia" w:hAnsi="Georgia"/>
          <w:i/>
          <w:sz w:val="24"/>
          <w:szCs w:val="24"/>
          <w:lang w:val="es-ES"/>
        </w:rPr>
        <w:t>mecanismo</w:t>
      </w:r>
      <w:r w:rsidRPr="003A174E">
        <w:rPr>
          <w:rFonts w:ascii="Georgia" w:hAnsi="Georgia"/>
          <w:i/>
          <w:sz w:val="24"/>
          <w:szCs w:val="24"/>
        </w:rPr>
        <w:t xml:space="preserve"> deberá garantizar que </w:t>
      </w:r>
      <w:r w:rsidRPr="003A174E">
        <w:rPr>
          <w:rFonts w:ascii="Georgia" w:hAnsi="Georgia"/>
          <w:i/>
          <w:sz w:val="24"/>
          <w:szCs w:val="24"/>
          <w:lang w:val="es-ES"/>
        </w:rPr>
        <w:t>todos los prestadores de</w:t>
      </w:r>
      <w:r w:rsidRPr="003A174E">
        <w:rPr>
          <w:rFonts w:ascii="Georgia" w:hAnsi="Georgia"/>
          <w:i/>
          <w:sz w:val="24"/>
          <w:szCs w:val="24"/>
        </w:rPr>
        <w:t xml:space="preserve"> servicios de salud </w:t>
      </w:r>
      <w:r w:rsidRPr="003A174E">
        <w:rPr>
          <w:rFonts w:ascii="Georgia" w:hAnsi="Georgia"/>
          <w:i/>
          <w:sz w:val="24"/>
          <w:szCs w:val="24"/>
          <w:lang w:val="es-ES"/>
        </w:rPr>
        <w:t xml:space="preserve">públicos y privados, y demás personas naturales o jurídicas que se relacionen con la atención en salud, </w:t>
      </w:r>
      <w:r w:rsidRPr="003A174E">
        <w:rPr>
          <w:rFonts w:ascii="Georgia" w:hAnsi="Georgia"/>
          <w:i/>
          <w:sz w:val="24"/>
          <w:szCs w:val="24"/>
        </w:rPr>
        <w:t xml:space="preserve">compartan </w:t>
      </w:r>
      <w:r w:rsidRPr="003A174E">
        <w:rPr>
          <w:rFonts w:ascii="Georgia" w:hAnsi="Georgia"/>
          <w:i/>
          <w:sz w:val="24"/>
          <w:szCs w:val="24"/>
          <w:lang w:val="es-ES"/>
        </w:rPr>
        <w:t xml:space="preserve">los datos vitales definidos por el Gobierno nacional para dar </w:t>
      </w:r>
      <w:r w:rsidRPr="003A174E">
        <w:rPr>
          <w:rFonts w:ascii="Georgia" w:hAnsi="Georgia"/>
          <w:i/>
          <w:sz w:val="24"/>
          <w:szCs w:val="24"/>
          <w:lang w:val="es-CO"/>
        </w:rPr>
        <w:t xml:space="preserve">continuidad a la atención en salud, los cuales deberán cumplir los estándares que se establezcan para el efecto.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mecanismo electrónico de interoperabilidad garantizará la autenticidad, integridad, disponibilidad y fiabilidad de los datos y deberá utilizar las técnicas necesarias que minimicen el riesgo a la suplantación, alteración, pérdida de confidencialidad y cualquier acceso indebido o no autorizado a la misma, de conformidad con la Ley 1581 de 2012 y las normas que la modifiquen, adicionen o sustituyan.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w:t>
      </w:r>
      <w:r w:rsidRPr="003A174E">
        <w:rPr>
          <w:rFonts w:ascii="Georgia" w:hAnsi="Georgia"/>
          <w:b/>
          <w:i/>
          <w:sz w:val="24"/>
          <w:szCs w:val="24"/>
        </w:rPr>
        <w:t xml:space="preserve">RÁGRAFO. </w:t>
      </w:r>
      <w:r w:rsidRPr="003A174E">
        <w:rPr>
          <w:rFonts w:ascii="Georgia" w:hAnsi="Georgia"/>
          <w:i/>
          <w:sz w:val="24"/>
          <w:szCs w:val="24"/>
        </w:rPr>
        <w:t xml:space="preserve">A partir de la entrada en vigencia de la presente </w:t>
      </w:r>
      <w:r w:rsidRPr="003A174E">
        <w:rPr>
          <w:rFonts w:ascii="Georgia" w:hAnsi="Georgia"/>
          <w:i/>
          <w:sz w:val="24"/>
          <w:szCs w:val="24"/>
          <w:lang w:val="es-ES"/>
        </w:rPr>
        <w:t>L</w:t>
      </w:r>
      <w:r w:rsidRPr="003A174E">
        <w:rPr>
          <w:rFonts w:ascii="Georgia" w:hAnsi="Georgia"/>
          <w:i/>
          <w:sz w:val="24"/>
          <w:szCs w:val="24"/>
        </w:rPr>
        <w:t xml:space="preserve">ey el </w:t>
      </w:r>
      <w:r w:rsidRPr="003A174E">
        <w:rPr>
          <w:rFonts w:ascii="Georgia" w:hAnsi="Georgia"/>
          <w:i/>
          <w:sz w:val="24"/>
          <w:szCs w:val="24"/>
          <w:lang w:val="es-ES"/>
        </w:rPr>
        <w:t>Gobierno nacional</w:t>
      </w:r>
      <w:r w:rsidRPr="003A174E">
        <w:rPr>
          <w:rFonts w:ascii="Georgia" w:hAnsi="Georgia"/>
          <w:i/>
          <w:sz w:val="24"/>
          <w:szCs w:val="24"/>
        </w:rPr>
        <w:t>, deberá en un término de doce (12) meses adoptar la reglamentación que estime necesaria para el desarrollo del presente artículo.</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251</w:t>
      </w:r>
      <w:r w:rsidRPr="003A174E">
        <w:rPr>
          <w:rFonts w:ascii="Georgia" w:hAnsi="Georgia"/>
          <w:b/>
          <w:i/>
          <w:sz w:val="24"/>
          <w:szCs w:val="24"/>
          <w:lang w:val="es-CO"/>
        </w:rPr>
        <w:t xml:space="preserve">º. FASE DE REHABILITACIÓN. </w:t>
      </w:r>
      <w:r w:rsidRPr="003A174E">
        <w:rPr>
          <w:rFonts w:ascii="Georgia" w:hAnsi="Georgia"/>
          <w:i/>
          <w:sz w:val="24"/>
          <w:szCs w:val="24"/>
          <w:lang w:val="es-CO"/>
        </w:rPr>
        <w:t xml:space="preserve">Modifíquese el artículo 3 de la Ley 1471 de 2011, el cual quedará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3. FASE DE REHABILITACIÓN. La Fase de Rehabilitación Inclusiva -FRI del Sistema de Rehabilitación Integral -SRI del Ministerio de Defensa Nacional, comprende elementos terapéuticos, educativos y de gestión que permiten alcanzar la autonomía de las personas con discapacidad y de otras poblaciones del sector defensa definidas en esta ley, para desarrollar un nuevo proyecto de vida, con miras a la inclusión al medio familiar, laboral y social.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Son beneficiarios de la Fase Inclusión: Miembros de la Fuerza Pública con discapacidad, sean estos activos, retirados, pensionados, beneficiarios mayores de edad con discapacidad de los miembros de la Fuerza Pública, veteranos, veteranos de Corea, miembros de la Fuerza Pública activos o retirados que accedan a la </w:t>
      </w:r>
      <w:r w:rsidRPr="003A174E">
        <w:rPr>
          <w:rFonts w:ascii="Georgia" w:hAnsi="Georgia"/>
          <w:i/>
          <w:sz w:val="24"/>
          <w:szCs w:val="24"/>
          <w:lang w:val="es-CO"/>
        </w:rPr>
        <w:lastRenderedPageBreak/>
        <w:t>Jurisdicción Especial para la Paz - JEP, miembros de la Fuerza Pública que se encuentren en transición a la vida civil o en proceso de retiro, lesionados bajo las circunstancias previstas en los literales a, b, c, d del artículo 24 del Decreto 1796 de 2000 sin importar el porcentaje de pérdida de capacidad psicofísica otorgado por la junta Médico laboral,  víctimas militares y de policía conforme a lo definido en el artículo 3 de la Ley 1448 de 2011, personal civil con discapacidad del Ministerio de Defensa Nacional y de las Fuerzas Militares, y personal no uniformado con discapacidad de la Policía Nacional vinculados con anterioridad a la vigencia de la Ley 100 de 1993, que se encuentren en servicio activo o retirado de la institución, soldados regulares que hayan adquirido una discapacidad durante la prestación de su servicio militar obligatorio y, en general, poblaciones del sector seguridad y defensa que requieran de esta fase.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Será requisito para acceder a los servicios provistos en la Fase de Inclusión, que los titulares de los derechos de esta Ley estén afiliados y con los servicios activos al sistema de salud de las Fuerzas Militares o de la Policía Nacional o al Sistema General de Seguridad Social en Salud, según sea el caso, siempre que no implique erogación presupuestal adicional.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se destinen y asignen para dar cumplimiento a lo dispuesto en este artículo, deberán ser consistentes con el Marco Fiscal de Mediano Plazo y el Marco de Gasto de Mediano Plazo del Sector Defensa.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5</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EN LOS TERRITORIOS</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spacing w:afterLines="20" w:after="48" w:line="240" w:lineRule="auto"/>
        <w:jc w:val="both"/>
        <w:rPr>
          <w:rFonts w:ascii="Georgia" w:hAnsi="Georgia"/>
          <w:bCs/>
          <w:i/>
          <w:sz w:val="24"/>
          <w:szCs w:val="24"/>
          <w:lang w:val="es-CO"/>
        </w:rPr>
      </w:pPr>
      <w:r>
        <w:rPr>
          <w:rFonts w:ascii="Georgia" w:hAnsi="Georgia"/>
          <w:b/>
          <w:bCs/>
          <w:i/>
          <w:sz w:val="24"/>
          <w:szCs w:val="24"/>
          <w:lang w:val="es-CO"/>
        </w:rPr>
        <w:t>ARTÍCULO 252</w:t>
      </w:r>
      <w:r w:rsidRPr="003A174E">
        <w:rPr>
          <w:rFonts w:ascii="Georgia" w:hAnsi="Georgia"/>
          <w:b/>
          <w:bCs/>
          <w:i/>
          <w:sz w:val="24"/>
          <w:szCs w:val="24"/>
          <w:lang w:val="es-CO"/>
        </w:rPr>
        <w:t xml:space="preserve">°. ESQUEMAS ASOCIATIVOS TERRITORIALES -EAT. </w:t>
      </w:r>
      <w:r w:rsidRPr="003A174E">
        <w:rPr>
          <w:rFonts w:ascii="Georgia" w:hAnsi="Georgia"/>
          <w:bCs/>
          <w:i/>
          <w:sz w:val="24"/>
          <w:szCs w:val="24"/>
          <w:lang w:val="es-CO"/>
        </w:rPr>
        <w:t>La conformación y registro de las asociaciones de departamentos, distritos, municipios; regiones de planificación y gestión de que trata la Ley 1454 de 2011, se adelantará conforme al siguiente procedimiento: i) Expedición de la ordenanza departamental, acuerdo municipal y/o distrital de cada una de las entidades territoriales interesadas, autorizando al gobernador o alcalde para conformar el correspondiente Esquema Asociativo Territorial - EAT; ii) Suscripción del convenio interadministrativo con las entidades territoriales por medio del cual se conforma el respectivo EAT; iii) Documento de los estatutos que regularán la conformación y funcionamiento del EAT de acuerdo con la ley 1551 de 2012, incluyendo la descripción del patrimonio y aportes de las entidades que conforman el respectivo EAT; iv) Adopción de un plan estratégico de mediano plazo que contenga las objetivos, metas y líneas de acción para el cual se conforma el EAT.</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Una vez conformado, el EAT deberá registrar el convenio de conformación y sus estatutos en el Registro de Esquemas Asociativos Territoriales que para el efecto ponga en funcionamiento el Gobierno nacional, quien podrá definir los requisitos, condiciones y procedimiento para el suministro de la información a que haya lugar.</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Las entidades territoriales a través de los EAT conformados según el procedimiento descrito anteriormente y constituidos como persona jurídica de derecho público, podrán presentar proyectos de inversión de impacto regional a los Órganos Colegiados de Administración y Decisión - OCAD, y ser designados como sus ejecutores, conforme a la normativa vigente y aplicable. Para la presentación del proyecto, este deberá contar con concepto favorable de los alcaldes o gobernadores, según sea el caso, de las entidades territoriales conformantes del EAT.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Sin perjuicio de lo establecido en la Ley 1454 de 2011 y la Ley 136 de 1994 y las normas que las modifiquen, complementen o reglamenten, los EAT podrán prestar servicios públicos, desempeñar funciones administrativas propias o las que las entidades territoriales o el nivel nacional  le deleguen, ejecutar obras de interés del ámbito regional, cumplir funciones de planificación o ejecutar proyectos de desarrollo integral. Para tal fin deberán cumplir con las condiciones de experiencia, idoneidad y los demás requisitos dispuestos en las normas vigentes y aplicables, incluyendo la Ley 142 de 1994 y las que la modifiquen o sustituyan.</w:t>
      </w:r>
      <w:r w:rsidRPr="003A174E">
        <w:rPr>
          <w:rFonts w:ascii="Times New Roman" w:hAnsi="Times New Roman" w:cs="Times New Roman"/>
          <w:bCs/>
          <w:i/>
          <w:sz w:val="24"/>
          <w:szCs w:val="24"/>
          <w:lang w:val="es-CO"/>
        </w:rPr>
        <w:t> </w:t>
      </w:r>
      <w:r w:rsidRPr="003A174E">
        <w:rPr>
          <w:rFonts w:ascii="Georgia" w:hAnsi="Georgia"/>
          <w:bCs/>
          <w:i/>
          <w:sz w:val="24"/>
          <w:szCs w:val="24"/>
          <w:lang w:val="es-CO"/>
        </w:rPr>
        <w:t>Los EAT podrán, igualmente, asociarse con operadores autorizados por la autoridad competente para la prestación de los correspondientes servicios.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Los EAT conformados con anterioridad a la vigencia de la presente Ley continuarán sometiéndose a sus respectivas normas de conformación y funcionamiento, hasta tanto el Gobierno nacional habilite el referido sistema de registro. Una vez habilitado, los EAT ya conformados tendrán un plazo máximo de un (1) año para registrase. Sin perjuicio de lo anterior, los EAT que busquen acceder a los recursos de los OCAD y asumir las competencias definidas en el presente artículo deberán estar registrados en el sistema en mención.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Pr>
          <w:rFonts w:ascii="Georgia" w:hAnsi="Georgia"/>
          <w:b/>
          <w:bCs/>
          <w:i/>
          <w:sz w:val="24"/>
          <w:szCs w:val="24"/>
          <w:lang w:val="es-CO"/>
        </w:rPr>
        <w:t>ARTÍCULO 253</w:t>
      </w:r>
      <w:r w:rsidRPr="003A174E">
        <w:rPr>
          <w:rFonts w:ascii="Georgia" w:hAnsi="Georgia"/>
          <w:b/>
          <w:bCs/>
          <w:i/>
          <w:sz w:val="24"/>
          <w:szCs w:val="24"/>
          <w:lang w:val="es-CO"/>
        </w:rPr>
        <w:t xml:space="preserve">º. PACTOS TERRITORIALES. </w:t>
      </w:r>
      <w:r w:rsidRPr="003A174E">
        <w:rPr>
          <w:rFonts w:ascii="Georgia" w:hAnsi="Georgia"/>
          <w:bCs/>
          <w:i/>
          <w:sz w:val="24"/>
          <w:szCs w:val="24"/>
          <w:lang w:val="es-CO"/>
        </w:rPr>
        <w:t>La Nación y las entidades territoriales podrán suscribir pactos regionales, departamentales y funcionales. Los pactos regionales son acuerdos marco de voluntades suscritos entre la Nación y el conjunto de departamentos que integran las regiones definidas en las bases del Plan Nacional de Desarrollo- "Pacto por Colombia - pacto por la equidad", cuyo propósito es articular políticas, planes y programas orientados a la gestión técnica y financiera de proyectos de impacto regional conforme a las necesidades de los territorios, a fin de promover el desarrollo regional.</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Los pactos departamentales son acuerdos marco de voluntades que podrán ser suscritos entre la Nación y cada uno de los departamentos priorizados para el desarrollo de las estrategias diferenciadas a las que hacen referencia las bases  de la presente Ley, cuyo propósito es articular políticas, planes y programas orientados a la gestión técnica y financiera de proyectos conforme a las necesidades de los territorios, a fin de promover, entre otras cosas, la superación de la pobreza, el fortalecimiento institucional de las autoridades territoriales y el desarrollo socioeconómico de las comunidades.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Los pactos funcionales son acuerdos marco de voluntades que podrán ser suscritos entre la Nación y los municipios que tengan relaciones funcionales de acuerdo con la metodología que para el efecto defina el Departamento Nacional de Planeación, cuyo propósito es articular políticas, planes y programas orientados a la gestión técnica y financiera de proyectos conforme a las necesidades de los territorios, a fin de promover, entre otras cosas, el desarrollo subregional.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Los esquemas asociativos de entidades territoriales previstos en la Ley 1454 de 2011, podrán igualmente suscribir pactos territoriales según corresponda.</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Las iniciativas o proyectos de inversión que hacen parte de los Contratos Plan piloto, los Contratos Plan para la Paz y el Posconflicto; así como en la Hoja de Ruta para la estabilización; identificados por el Departamento Nacional de Planeación como de impacto regional, podrán incorporarse a los Pactos Territoriales, y deberán articularse con las líneas programáticas y proyectos de impacto regional priorizados, en los términos y condiciones que para el efecto defina el Departamento Nacional de Planeación.</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El Departamento Nacional de Planeación coordinará el proceso de transición y articulación de los Contratos Plan hacia el modelo de Pactos Territoriales y definirá los aspectos operativos correspondientes. En adelante la Nación, las entidades territoriales y los esquemas asociativos de entidades territoriales previstos en la Ley 1454 de 2011, solo podrán suscribir pactos territoriales. Se mantendrán como mecanismos para la ejecución de esta nueva herramienta los Contratos Específicos y el Fondo Regional para los Contratos Plan, en adelante Fondo Regional para los Pactos Territoriales, cuya operación se orientará a facilitar la ejecución de los Pactos Territoriales y de los Contratos Plan vigentes. Los Contratos Plan suscritos en virtud de los dispuesto en el artículo 18 de la Ley 1454 de 2011, se mantendrán vigentes por el termino de duración pactado entre las partes, que en todo caso, no podrá superar el 31 de diciembre de 2023.</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 xml:space="preserve">PARÁGRAFO. </w:t>
      </w:r>
      <w:r w:rsidRPr="003A174E">
        <w:rPr>
          <w:rFonts w:ascii="Georgia" w:hAnsi="Georgia"/>
          <w:bCs/>
          <w:i/>
          <w:sz w:val="24"/>
          <w:szCs w:val="24"/>
          <w:lang w:val="es-CO"/>
        </w:rPr>
        <w:t>Dentro del marco de la conmemoración del Bicentenario de la Independencia de Colombia se celebrará por parte del Gobierno nacional un pacto territorial con las entidades territoriales afines a la mencionada celebración.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254</w:t>
      </w:r>
      <w:r w:rsidRPr="003A174E">
        <w:rPr>
          <w:rFonts w:ascii="Georgia" w:hAnsi="Georgia"/>
          <w:b/>
          <w:i/>
          <w:sz w:val="24"/>
          <w:szCs w:val="24"/>
          <w:lang w:val="es-CO"/>
        </w:rPr>
        <w:t xml:space="preserve">º. CONCURRENCIA DE RECURSOS PARA LA FINANCIACIÓN DE INICIATIVAS DE GASTO EN DIFERENTES JURISDICCIONES. </w:t>
      </w:r>
      <w:r w:rsidRPr="003A174E">
        <w:rPr>
          <w:rFonts w:ascii="Georgia" w:hAnsi="Georgia"/>
          <w:i/>
          <w:sz w:val="24"/>
          <w:szCs w:val="24"/>
          <w:lang w:val="es-CO"/>
        </w:rPr>
        <w:t>Las entidades territoriales podrán financiar de manera conjunta y concertada iniciativas de gasto por fuera de su jurisdicción, y en especial para la ejecución de proyectos de inversión con impacto regional, siempre y cuando este beneficie a las entidades territoriales que financian la iniciativa de propuesta.</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lastRenderedPageBreak/>
        <w:t>ARTÍCULO 255</w:t>
      </w:r>
      <w:r w:rsidRPr="003A174E">
        <w:rPr>
          <w:rFonts w:ascii="Georgia" w:hAnsi="Georgia"/>
          <w:b/>
          <w:bCs/>
          <w:i/>
          <w:sz w:val="24"/>
          <w:szCs w:val="24"/>
          <w:lang w:val="es-CO"/>
        </w:rPr>
        <w:t xml:space="preserve">º. CÉDULA RURAL. </w:t>
      </w:r>
      <w:r w:rsidRPr="003A174E">
        <w:rPr>
          <w:rFonts w:ascii="Georgia" w:hAnsi="Georgia"/>
          <w:i/>
          <w:sz w:val="24"/>
          <w:szCs w:val="24"/>
          <w:lang w:val="es-CO"/>
        </w:rPr>
        <w:t>Con el propósito de formalizar la actividad de producción agropecuaria, promover la inclusión financiera, controlar el otorgamiento de créditos, subsidios, incentivos o apoyos estatales a las actividades agropecuarias y rurales; así como obtener información de la producción agropecuaria que facilite la adopción de políticas públicas para este sector, créase la cédula rural.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Agricultura y Desarrollo Rural, en coordinación con el Ministerio de Hacienda y Crédito Público, reglamentará todos los aspectos requeridos para el funcionamiento y operación de este mecanismo.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Agricultura y Desarrollo Rural podrá delegar en otras entidades públicas la administración y operación de la cédula rural.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que se destinen y asignen para la implementación, administración y operación de la cédula rural deberán ser consistentes con el Marco Fiscal de Mediano Plazo y el Marco de Gasto del Sector de Agricultura y Desarrollo Rural.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w:t>
      </w:r>
      <w:r w:rsidRPr="003A174E">
        <w:rPr>
          <w:rFonts w:ascii="Georgia" w:hAnsi="Georgia"/>
          <w:i/>
          <w:sz w:val="24"/>
          <w:szCs w:val="24"/>
          <w:lang w:val="es-CO"/>
        </w:rPr>
        <w:t>El Gobierno nacional tendrá en consideración las experiencias existentes en los procesos de cedulación rural, con el propósito de evitar duplicidades, precisar los alcances y enriquecer los procesos.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256</w:t>
      </w:r>
      <w:r w:rsidRPr="003A174E">
        <w:rPr>
          <w:rFonts w:ascii="Georgia" w:hAnsi="Georgia"/>
          <w:b/>
          <w:i/>
          <w:sz w:val="24"/>
          <w:szCs w:val="24"/>
          <w:lang w:val="es-CO"/>
        </w:rPr>
        <w:t>°. SERVICIO PÚBLICO DE ADECUACIÓN DE TIERRAS</w:t>
      </w:r>
      <w:r w:rsidRPr="003A174E">
        <w:rPr>
          <w:rFonts w:ascii="Georgia" w:hAnsi="Georgia"/>
          <w:i/>
          <w:sz w:val="24"/>
          <w:szCs w:val="24"/>
          <w:lang w:val="es-CO"/>
        </w:rPr>
        <w:t xml:space="preserve">. Modifíquese el artículo 3º de la Ley 41 de 1993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3. SERVICIO PÚBLICO DE ADECUACIÓN DE TIERRAS. El servicio público de adecuación de tierras - ADT comprende la construcción de obras de infraestructura destinadas a dotar a un área determinada con riego, drenaje, o protección contra inundaciones, reposición de maquinaria; así como las actividades complementarias de este servicio para mejorar la productividad agropecuaria. Esto último de acuerdo con la reglamentación del Ministerio de Agricultura y Desarrollo Rural, de conformidad con lo dispuesto en el literal d) sobre costos del artículo “Sistema y método para la determinación de las tarifas”.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257</w:t>
      </w:r>
      <w:r w:rsidRPr="003A174E">
        <w:rPr>
          <w:rFonts w:ascii="Georgia" w:hAnsi="Georgia"/>
          <w:b/>
          <w:i/>
          <w:sz w:val="24"/>
          <w:szCs w:val="24"/>
          <w:lang w:val="es-CO"/>
        </w:rPr>
        <w:t>°. CREACIÓN DE LA TASA, HECHO GENERADOR, SUJETO PASIVO Y ACTIVO DEL SERVICIO PÚBLICO DE ADECUACIÓN DE TIERRAS</w:t>
      </w:r>
      <w:r w:rsidRPr="003A174E">
        <w:rPr>
          <w:rFonts w:ascii="Georgia" w:hAnsi="Georgia"/>
          <w:i/>
          <w:sz w:val="24"/>
          <w:szCs w:val="24"/>
          <w:lang w:val="es-CO"/>
        </w:rPr>
        <w:t>. Adiciónese el siguiente artículo a la Ley 41 de 1993.</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16A. CREACIÓN DE LA TASA, HECHO GENERADOR, SUJETO PASIVO Y ACTIVO DEL SERVICIO PÚBLICO DE ADECUACIÓN DE TIERRAS. Créase la tasa del servicio público de Adecuación de Tierras para recuperar los costos asociados a su prestación y que se constituyen como la base gravable para la liquidación.  Estos costos se determinarán, a través del sistema y método tarifario establecido en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Serán hechos generadores de la tasa del servicio público de ADT los siguientes: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Suministro de agua para usos agropecuarios;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Drenaje de aguas en los suelos;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Protección contra inundaciones;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4. Desarrollo de actividades complementarias para mejorar la productividad agropecuaria.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entidad pública propietaria del distrito que preste el servicio público de ADT, será sujeto activo de la tasa del Servicio Público de Adecuación de Tierras y todo usuario de los Distritos de Adecuación de Tierras será sujeto pasivo.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258</w:t>
      </w:r>
      <w:r w:rsidRPr="003A174E">
        <w:rPr>
          <w:rFonts w:ascii="Georgia" w:hAnsi="Georgia"/>
          <w:b/>
          <w:i/>
          <w:sz w:val="24"/>
          <w:szCs w:val="24"/>
          <w:lang w:val="es-CO"/>
        </w:rPr>
        <w:t>°. SISTEMA Y MÉTODO PARA LA DETERMINACIÓN DE LAS TARIFAS</w:t>
      </w:r>
      <w:r w:rsidRPr="003A174E">
        <w:rPr>
          <w:rFonts w:ascii="Georgia" w:hAnsi="Georgia"/>
          <w:i/>
          <w:sz w:val="24"/>
          <w:szCs w:val="24"/>
          <w:lang w:val="es-CO"/>
        </w:rPr>
        <w:t xml:space="preserve">. Adiciónese el siguiente artículo a la Ley 41 de 1993.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16B. SISTEMA Y MÉTODO PARA LA DETERMINACIÓN DE LAS TARIFAS. El sistema y método para la fijación de las tarifas que se cobrarán como recuperación de los costos asociados a la prestación del servicio público de adecuación de tierras, es el siguiente: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Sistema: Para la definición de los costos sobre cuya base haya de calcularse la tarifa de adecuación de tierras, se aplicará el siguiente sistema: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Tarifa Fija: se calcula a partir de la sumatoria de los costos de administración y de la proporción de los costos de operación y conservación que establezca el Ministerio de Agricultura y Desarrollo Rural, dividida sobre el área del distrito de Adecuación de Tierras. Para establecer el valor que le corresponde pagar a cada usuario por concepto de esta tarifa, se multiplica por el área beneficiada de cada predio.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b) Tarifa Volumétrica o de aprovechamiento: se calcula a partir de la sumatoria de la proporción de los costos de operación y conservación, más el costo por utilización de aguas que el distrito de Adecuación de Tierras cancela a la autoridad ambiental competente, dividida por el volumen de agua anual derivado en bocatoma. Para establecer el valor que le corresponde pagar a cada usuario por concepto de esta tarifa, se multiplica por el volumen del agua entregado a cada usuario.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c) Tarifa por prestación de actividades para mejorar la productividad agropecuaria: se calcula a partir de la sumatoria de los costos fijos y variables de las actividades complementarias para mejorar la productividad agropecuaria, dividido entre el número de beneficiados por dichas actividades. Esta tarifa se </w:t>
      </w:r>
      <w:r w:rsidRPr="003A174E">
        <w:rPr>
          <w:rFonts w:ascii="Georgia" w:hAnsi="Georgia"/>
          <w:i/>
          <w:sz w:val="24"/>
          <w:szCs w:val="24"/>
          <w:lang w:val="es-CO"/>
        </w:rPr>
        <w:lastRenderedPageBreak/>
        <w:t xml:space="preserve">cobrará únicamente a los usuarios del distrito de Adecuación de Tierras que soliciten al prestador del servicio público la prestación de dichas actividades.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 Tarifa para reposición de maquinaria: se calcula a partir del valor anual de depreciación de la maquinaria, dividido sobre el área total del distrito de Adecuación de Tierras. Para establecer el valor que le corresponde pagar a cada usuario por concepto de esta tarifa, se multiplica por el área de cada predio.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el cálculo de las tarifas se utilizará:</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 El presupuesto anual de costos asociados a la prestación del servicio público de adecuación de tierras, elaborado por el prestador del servicio público.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II. El registro general de usuarios actualizado.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III. El plan de adecuación de tierras proyectado.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Método: Definición de los costos asociados a la prestación del servicio público de Adecuación de Tierras, sobre cuya base se hará la fijación del monto tarifario de la tasa del servicio público: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Costos de administración del distrito. Comprenden la remuneración del personal administrativo, costos generales, costos de facturación, arriendos, vigilancia, servicios públicos, seguros, impuestos y costos no operacionales relacionados con la administración del respectivo distrito.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Costos de operación del distrito. Comprenden la remuneración del personal operativo, energía eléctrica para bombeo, costos de operación y mantenimiento de vehículos, maquinaria y equipo, y movilización del personal de operación del distrito.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Costos de conservación. Comprenden la remuneración del personal de conservación y los costos de la conservación, limpieza, reparación y reposición de infraestructura y equipos del distrito.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d) Costos de actividades complementarias para mejorar la productividad agropecuaria. Comprenden los costos asociados al fortalecimiento organizacional y extensión agropecuaria; promoción de prácticas adecuadas para el uso del agua en el riego; apoyo a la producción agropecuaria; investigación, innovación, transferencia tecnológica y transformación; comercialización; manejo eficiente del agua y suelo; aprovechamiento de los materiales resultantes del mantenimiento y conservación del distrito de adecuación de tierras.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e) Costo de la Tasa por Utilización de Aguas -TUA. De conformidad con lo dispuesto en el artículo 43 de la Ley 99 de 1993 y el Decreto 1076 de 2015 o las disposiciones que hagan sus veces. Se calcula a partir del volumen de agua medido que se utiliza para la prestación del servicio de riego a los usuarios del Distrito de riego.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Costos de Reposición de Maquinaria. Son los costos en que se incurre para reemplazar la maquinaria del distrito destinada para la prestación del servicio público de adecuación de tierras a los usuarios, una vez haya cumplido su vida útil.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El Ministerio de Agricultura y Desarrollo Rural fijará mediante resolución, antes del 31 de diciembre de cada año y para la vigencia siguiente, la tarifa fija, la tarifa volumétrica y la tarifa para reposición de maquinaria del servicio público de riego, con el fundamento en el método y sistema establecidos en la presente Ley. Asimismo, fijará anualmente la proporción de los costos de operación y conservación para las tarifas fija y volumétrica para cada distrito de Adecuación de Tierras, teniendo en cuenta su naturaleza, así como los sistemas de captación y distribución del agua.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La autoridad ambiental de la jurisdicción del respectivo distrito de adecuación de tierras no podrá facturar incrementos por concepto de TUA que superen el Índice de Precios al Consumidor emitido por el DANE. El valor a pagar por el administrador del Distrito de Adecuación de Tierras será con cargo a cada usuario del servicio y debe calcularse proporcionalmente al área beneficiada de cada uno por el servicio prestado.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En el caso de las asociaciones de usuarios, la factura del servicio público de adecuación de tierras constituye título ejecutivo y en consecuencia, su cobro se hará conforme con las reglas de procedimiento establecidas en el Código General del Proceso.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259</w:t>
      </w:r>
      <w:r w:rsidRPr="003A174E">
        <w:rPr>
          <w:rFonts w:ascii="Georgia" w:hAnsi="Georgia"/>
          <w:b/>
          <w:i/>
          <w:sz w:val="24"/>
          <w:szCs w:val="24"/>
          <w:lang w:val="es-CO"/>
        </w:rPr>
        <w:t>°. FONDO DE ADECUACIÓN DE TIERRAS</w:t>
      </w:r>
      <w:r w:rsidRPr="003A174E">
        <w:rPr>
          <w:rFonts w:ascii="Georgia" w:hAnsi="Georgia"/>
          <w:i/>
          <w:sz w:val="24"/>
          <w:szCs w:val="24"/>
          <w:lang w:val="es-CO"/>
        </w:rPr>
        <w:t xml:space="preserve">. Modifíquese el artículo 16 de la Ley 41 de 1993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 FONDO DE ADECUACIÓN DE TIERRAS. Créase el Fondo Nacional de Adecuación de Tierras -FONAT como una unidad administrativa de financiamiento del Subsector de Adecuación de Tierras, cuyo objetivo es financiar los estudios, diseños y construcción de las obras de riego, avenamiento, reposición de maquinaria y las actividades complementarias al servicio de ADT para mejorar la productividad agropecuaria,  esto último de acuerdo con la reglamentación del Ministerio de Agricultura y Desarrollo Rural, de conformidad con lo dispuesto en el literal d) sobre costos del artículo "Sistema y método para la determinación de las tarifas”.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El Fondo funcionará como una cuenta separada en el presupuesto de la Agencia de Desarrollo Rural - ADR, quien lo manejará y su representante legal será el Presidente de dicha Agencia.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260</w:t>
      </w:r>
      <w:r w:rsidRPr="003A174E">
        <w:rPr>
          <w:rFonts w:ascii="Georgia" w:hAnsi="Georgia"/>
          <w:b/>
          <w:i/>
          <w:sz w:val="24"/>
          <w:szCs w:val="24"/>
          <w:lang w:val="es-CO"/>
        </w:rPr>
        <w:t>°. ENTIDAD RESPONSABLE INSPECCIÓN, VIGILANCIA Y CONTROL DE ADT</w:t>
      </w:r>
      <w:r w:rsidRPr="003A174E">
        <w:rPr>
          <w:rFonts w:ascii="Georgia" w:hAnsi="Georgia"/>
          <w:i/>
          <w:sz w:val="24"/>
          <w:szCs w:val="24"/>
          <w:lang w:val="es-CO"/>
        </w:rPr>
        <w:t xml:space="preserve">. Adiciónese el siguiente artículo de la ley 41 de 1993.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16C. ENTIDAD RESPONSABLE INSPECCIÓN, VIGILANCIA Y CONTROL DE ADT. El Ministerio de Agricultura y Desarrollo Rural será la entidad responsable de adelantar labores de inspección, vigilancia y control de la prestación del servicio público de adecuación de tierras conforme lo dispuesto en la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Para el ejercicio de estas funciones, el Ministerio de Agricultura y Desarrollo Rural organizará dentro de su estructura interna, una dependencia encargada de conocer de los procesos sancionatorios en primera y segunda instancia, de conformidad con el procedimiento aplicable contenido en la Ley 1437 de 2011.</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261</w:t>
      </w:r>
      <w:r w:rsidRPr="003A174E">
        <w:rPr>
          <w:rFonts w:ascii="Georgia" w:hAnsi="Georgia"/>
          <w:b/>
          <w:i/>
          <w:sz w:val="24"/>
          <w:szCs w:val="24"/>
          <w:lang w:val="es-CO"/>
        </w:rPr>
        <w:t>°. INFRACCIONES EN LA PRESTACIÓN DEL SERVICIO PÚBLICO DE ADT</w:t>
      </w:r>
      <w:r w:rsidRPr="003A174E">
        <w:rPr>
          <w:rFonts w:ascii="Georgia" w:hAnsi="Georgia"/>
          <w:i/>
          <w:sz w:val="24"/>
          <w:szCs w:val="24"/>
          <w:lang w:val="es-CO"/>
        </w:rPr>
        <w:t xml:space="preserve">. Adiciónese el siguiente artículo de Ley 41 de 1993.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16D. INFRACCIONES EN LA PRESTACIÓN DEL SERVICIO PÚBLICO DE ADT. Serán infractores del servicio público de adecuación de tierras los usuarios y operadores en la prestación de este servicio público. Las infracciones serán las siguientes: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No suministrar oportunamente a las autoridades la información y los documentos necesarios para el ejercicio de la inspección, vigilancia y control.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No suministrar oportunamente a la asamblea general de la asociación de usuarios la información y documentos relevantes para la administración del distrito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Extraviar, perder o dañar bienes del distrito de adecuación de tierras o de la asociación de usuarios que se tengan bajo administración o custodia.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Asumir compromisos sobre apropiaciones presupuestales inexistentes en exceso del saldo disponible de apropiación o que afecten el presupuesto de la asociación de usuarios sin contar con las autorizaciones pertinentes.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5. Llevar de forma indebida los libros de registro de ejecución presupuestal de ingresos y gastos, así como los libros de contabilidad financiera.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Efectuar inversión de recursos públicos en condiciones que no garantizan seguridad, rentabilidad y liquidez.</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7. Omitir o retardar injustificadamente el ejercicio de las funciones que le son propias de su naturaleza.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8. Extraviar, perder o dañar maquinaria, equipos técnicos necesarios para la debida operación y conservación del distrito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9. Extraviar, perder o dañar información administrativa financiera, técnica o legal relacionada con la operación del distrito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10. Alterar, falsificar, introducir, borrar, ocultar o desaparecer información de cualquiera de los sistemas de información del distrito de adecuación de tierras o permitir el acceso a ella a personas no autorizadas.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11. Recibir dádivas o beneficios por la prestación del servicio público de adecuación de tierras que no correspondan a las tarifas establecidas legalmente.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12. No asegurar por el valor real los bienes del distrito de adecuación de tierras que tenga bajo custodia.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 Obtener o beneficiarse de la prestación del servicio público de adecuación de tierras de forma irregular, clandestina o a través de la alteración de los mecanismos de medición y control.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262</w:t>
      </w:r>
      <w:r w:rsidRPr="003A174E">
        <w:rPr>
          <w:rFonts w:ascii="Georgia" w:hAnsi="Georgia"/>
          <w:b/>
          <w:i/>
          <w:sz w:val="24"/>
          <w:szCs w:val="24"/>
          <w:lang w:val="es-CO"/>
        </w:rPr>
        <w:t>°. SANCIONES A LA PRESTACIÓN DEL SERVICIO PÚBLICO - ADT</w:t>
      </w:r>
      <w:r w:rsidRPr="003A174E">
        <w:rPr>
          <w:rFonts w:ascii="Georgia" w:hAnsi="Georgia"/>
          <w:i/>
          <w:sz w:val="24"/>
          <w:szCs w:val="24"/>
          <w:lang w:val="es-CO"/>
        </w:rPr>
        <w:t xml:space="preserve">. Adiciónese el siguiente artículo a la Ley 41 de 1993.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16E. SANCIONES A LA PRESTACIÓN DEL SERVICIO PÚBLICO ADT. Las sanciones señaladas en este artículo se impondrán como principales o accesorias a los responsables de las infracciones en calidad de operadores o usuarios del servicio público de adecuación de tierras y demás disposiciones vigentes que las adicionen, sustituyan o modifiquen, las cuales se incorporarán atendiendo a la graduación establecida en el artículo 50 de la Ley 1437 del 2011 o las disposiciones legales que hagan sus veces.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sanciones contenidas en el presente artículo, sin perjuicio de las sanciones penales y demás a que hubiere lugar, se impondrán al infractor de acuerdo con la gravedad de la infracción mediante resolución motivada.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 Multas pecuniarias hasta por 241.644,6 UVT.</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2. Suspensión temporal de la autorización para ejercer la función de prestador del servicio público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Revocatoria de la autorización para ejercer la función de prestador del servicio público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4. Inhabilidad hasta por veinte (20) años para ejercer la función de prestador del servicio público de adecuación de tierras.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Los actos administrativos que impongan sanciones pecuniarias prestarán mérito ejecutivo y su cobro podrá realizarse a través de jurisdicción coactiva.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En caso que la entidad prestadora del servicio público de adecuación de tierras tenga un contrato de administración delegada sobre un distrito de propiedad del Estado y sea sancionada en los términos de los numerales 3 y/o 4, se terminará inmediata y unilateralmente el contrato.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ES"/>
        </w:rPr>
      </w:pPr>
      <w:r>
        <w:rPr>
          <w:rFonts w:ascii="Georgia" w:hAnsi="Georgia"/>
          <w:b/>
          <w:i/>
          <w:sz w:val="24"/>
          <w:szCs w:val="24"/>
          <w:lang w:val="es-CO"/>
        </w:rPr>
        <w:t>ARTÍCULO 263</w:t>
      </w:r>
      <w:r w:rsidRPr="003A174E">
        <w:rPr>
          <w:rFonts w:ascii="Georgia" w:hAnsi="Georgia"/>
          <w:b/>
          <w:i/>
          <w:sz w:val="24"/>
          <w:szCs w:val="24"/>
          <w:lang w:val="es-CO"/>
        </w:rPr>
        <w:t xml:space="preserve">°. </w:t>
      </w:r>
      <w:r w:rsidRPr="003A174E">
        <w:rPr>
          <w:rFonts w:ascii="Georgia" w:hAnsi="Georgia"/>
          <w:b/>
          <w:i/>
          <w:sz w:val="24"/>
          <w:szCs w:val="24"/>
        </w:rPr>
        <w:t>VIVIENDA RURAL EFECTIVA</w:t>
      </w:r>
      <w:r w:rsidRPr="003A174E">
        <w:rPr>
          <w:rFonts w:ascii="Georgia" w:hAnsi="Georgia"/>
          <w:i/>
          <w:sz w:val="24"/>
          <w:szCs w:val="24"/>
        </w:rPr>
        <w:t xml:space="preserve">. El Gobierno </w:t>
      </w:r>
      <w:r w:rsidRPr="003A174E">
        <w:rPr>
          <w:rFonts w:ascii="Georgia" w:hAnsi="Georgia"/>
          <w:i/>
          <w:sz w:val="24"/>
          <w:szCs w:val="24"/>
          <w:lang w:val="es-ES"/>
        </w:rPr>
        <w:t>n</w:t>
      </w:r>
      <w:r w:rsidRPr="003A174E">
        <w:rPr>
          <w:rFonts w:ascii="Georgia" w:hAnsi="Georgia"/>
          <w:i/>
          <w:sz w:val="24"/>
          <w:szCs w:val="24"/>
        </w:rPr>
        <w:t xml:space="preserve">acional diseñará un plan para la efectiva implementación de una política de vivienda rural. </w:t>
      </w:r>
      <w:r w:rsidRPr="003A174E">
        <w:rPr>
          <w:rFonts w:ascii="Georgia" w:hAnsi="Georgia"/>
          <w:i/>
          <w:sz w:val="24"/>
          <w:szCs w:val="24"/>
          <w:lang w:val="es-ES"/>
        </w:rPr>
        <w:t xml:space="preserve">A partir del año 2020 su formulación y ejecución estará a cargo del Ministerio de Vivienda, Ciudad y Territorio, por lo que será esa entidad la encargada de coordinar y liderar la ejecución de los proyectos de vivienda y mejoramiento de vivienda encaminados a la disminución del déficit habitacional rural. </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sz w:val="24"/>
          <w:szCs w:val="24"/>
          <w:lang w:val="es-ES"/>
        </w:rPr>
      </w:pPr>
      <w:r w:rsidRPr="003A174E">
        <w:rPr>
          <w:rFonts w:ascii="Georgia" w:hAnsi="Georgia"/>
          <w:i/>
          <w:sz w:val="24"/>
          <w:szCs w:val="24"/>
          <w:lang w:val="es-ES"/>
        </w:rPr>
        <w:t xml:space="preserve">Para este efecto el Gobierno nacional realizará los ajustes presupuestales correspondientes, respetando tanto el Marco de Gasto de Mediano Plazo, así como el Marco Fiscal de Mediano Plazo, y reglamentará la materia. </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sz w:val="24"/>
          <w:szCs w:val="24"/>
          <w:lang w:val="es-ES"/>
        </w:rPr>
      </w:pPr>
      <w:r>
        <w:rPr>
          <w:rFonts w:ascii="Georgia" w:hAnsi="Georgia"/>
          <w:b/>
          <w:i/>
          <w:color w:val="000000"/>
          <w:sz w:val="24"/>
          <w:szCs w:val="24"/>
          <w:lang w:val="es-ES_tradnl"/>
        </w:rPr>
        <w:t>ARTÍCULO 264</w:t>
      </w:r>
      <w:r w:rsidRPr="003A174E">
        <w:rPr>
          <w:rFonts w:ascii="Georgia" w:hAnsi="Georgia"/>
          <w:b/>
          <w:i/>
          <w:color w:val="000000"/>
          <w:sz w:val="24"/>
          <w:szCs w:val="24"/>
          <w:lang w:val="es-ES_tradnl"/>
        </w:rPr>
        <w:t xml:space="preserve">º (NUEVO). PROCEDIMIENTO PARA LAS OPERACIONES DE LOS FONDOS DE ESTABILIZACIÓN DE PRECIOS DE PRODUCTOS AGROPECUARIOS Y PESQUEROS. </w:t>
      </w:r>
      <w:r w:rsidRPr="003A174E">
        <w:rPr>
          <w:rFonts w:ascii="Georgia" w:hAnsi="Georgia"/>
          <w:i/>
          <w:color w:val="000000"/>
          <w:sz w:val="24"/>
          <w:szCs w:val="24"/>
          <w:lang w:val="es-ES_tradnl"/>
        </w:rPr>
        <w:t xml:space="preserve">Adiciónese el siguiente inciso al parágrafo 1 </w:t>
      </w:r>
      <w:r w:rsidRPr="003A174E">
        <w:rPr>
          <w:rFonts w:ascii="Georgia" w:hAnsi="Georgia"/>
          <w:i/>
          <w:sz w:val="24"/>
          <w:szCs w:val="24"/>
          <w:lang w:val="es-ES"/>
        </w:rPr>
        <w:t>del artículo 40 de la Ley 101 de 1993:</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sz w:val="24"/>
          <w:szCs w:val="24"/>
          <w:lang w:val="es-ES"/>
        </w:rPr>
        <w:t>Para efectos de lo previsto en este parágrafo, los Comités Directivos podrán determinar</w:t>
      </w:r>
      <w:r w:rsidRPr="003A174E">
        <w:rPr>
          <w:rFonts w:ascii="Georgia" w:hAnsi="Georgia"/>
          <w:i/>
          <w:color w:val="000000"/>
          <w:sz w:val="24"/>
          <w:szCs w:val="24"/>
          <w:lang w:val="es-ES_tradnl"/>
        </w:rPr>
        <w:t xml:space="preserve"> el monto y las condiciones para aplicar las cesiones o compensaciones a productos objeto de estabilización, bien sea de origen nacional, o bien de origen extranjero, cuando los demás tengan operaciones de venta interna en los mercados nacionales.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265</w:t>
      </w:r>
      <w:r w:rsidRPr="003A174E">
        <w:rPr>
          <w:rFonts w:ascii="Georgia" w:hAnsi="Georgia"/>
          <w:b/>
          <w:i/>
          <w:sz w:val="24"/>
          <w:szCs w:val="24"/>
          <w:lang w:val="es-CO"/>
        </w:rPr>
        <w:t xml:space="preserve">º. REDUCCIÓN DE LA PROVISIONALIDAD EN EL EMPLEO PÚBLICO. </w:t>
      </w:r>
      <w:r w:rsidRPr="003A174E">
        <w:rPr>
          <w:rFonts w:ascii="Georgia" w:hAnsi="Georgia"/>
          <w:i/>
          <w:sz w:val="24"/>
          <w:szCs w:val="24"/>
          <w:lang w:val="es-CO"/>
        </w:rPr>
        <w:t xml:space="preserve">Las entidades coordinarán con la Comisión Nacional del Servicio Civil – CNSC la realización de los procesos de selección para el ingreso a </w:t>
      </w:r>
      <w:r w:rsidRPr="003A174E">
        <w:rPr>
          <w:rFonts w:ascii="Georgia" w:hAnsi="Georgia"/>
          <w:i/>
          <w:sz w:val="24"/>
          <w:szCs w:val="24"/>
          <w:lang w:val="es-CO"/>
        </w:rPr>
        <w:lastRenderedPageBreak/>
        <w:t>los cargos de carrera administrativa y su financiación; definidas las fechas del concurso las entidades asignarán los recursos presupuestales que le corresponden para la financiación, si el valor del recaudo es insuficiente para atender los costos que genere el proceso de selección, de acuerdo con lo señalado en el artículo 9 de la Ley 1033 de 2006.</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Los procesos de selección para proveer las vacantes en los empleos de carrera administrativa en los municipios de quinta y sexta categoría serán adelantados por la – CNSC, a través de la Escuela Superior de Administración Pública - ESAP, como institución acreditada ante la CNSC para ser operador del proceso. La ESAP asumirá en su totalidad, los costos que generen los procesos de selección.</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Las entidades públicas deberán adelantar las convocatorias de oferta pública de empleo en coordinación con la CNSC y el Departamento Administrativo de la Función Pública.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b/>
          <w:i/>
          <w:sz w:val="24"/>
          <w:szCs w:val="24"/>
        </w:rPr>
        <w:t>PARÁGRAFO</w:t>
      </w:r>
      <w:r w:rsidRPr="003A174E">
        <w:rPr>
          <w:rFonts w:ascii="Georgia" w:hAnsi="Georgia"/>
          <w:b/>
          <w:i/>
          <w:sz w:val="24"/>
          <w:szCs w:val="24"/>
          <w:lang w:val="es-ES"/>
        </w:rPr>
        <w:t xml:space="preserve"> SEGUNDO</w:t>
      </w:r>
      <w:r w:rsidRPr="003A174E">
        <w:rPr>
          <w:rFonts w:ascii="Georgia" w:hAnsi="Georgia"/>
          <w:b/>
          <w:i/>
          <w:sz w:val="24"/>
          <w:szCs w:val="24"/>
        </w:rPr>
        <w:t>.</w:t>
      </w:r>
      <w:r w:rsidRPr="003A174E">
        <w:rPr>
          <w:rFonts w:ascii="Georgia" w:hAnsi="Georgia"/>
          <w:i/>
          <w:sz w:val="24"/>
          <w:szCs w:val="24"/>
        </w:rPr>
        <w:t xml:space="preserve"> Los empleos vacantes en forma definitiva del sistema general de carrera, que estén siendo desempeñados con personal vinculado mediante nombramiento provisional antes de diciembre de 2018 y cuyos titulares a la fecha de entrada en vigencia de la presente Ley le falten tres (3) años o menos </w:t>
      </w:r>
      <w:r w:rsidRPr="003A174E">
        <w:rPr>
          <w:rFonts w:ascii="Georgia" w:hAnsi="Georgia"/>
          <w:i/>
          <w:color w:val="000000"/>
          <w:sz w:val="24"/>
          <w:szCs w:val="24"/>
          <w:lang w:val="es-ES_tradnl"/>
        </w:rPr>
        <w:t>para causar el derecho a la pensión de jubilación, serán ofertados por la CNSC una vez el servidor cause su respectivo derecho pensional.</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Surtido lo anterior los empleos deberán proveerse siguiendo el procedimiento señalado en la Ley 909 de 2004 y en los decretos reglamentarios. Para el efecto, las listas de elegibles que se conformen en aplicación del presente artículo tendrán una vigencia de tres (3) años.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 xml:space="preserve">El jefe del organismo deberá reportar a la CNSC, dentro de los dos (2) meses siguientes a la fecha de publicación de la presente Ley, los empleos que se encuentren en la situación antes señalada. </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color w:val="000000"/>
          <w:sz w:val="24"/>
          <w:szCs w:val="24"/>
          <w:lang w:val="es-ES_tradnl"/>
        </w:rPr>
        <w:t>Para los demás servidores en condiciones especiales, madres, padres cabeza de familia y en situación de discapacidad que vayan a ser desvinculados como consecuencia</w:t>
      </w:r>
      <w:r w:rsidRPr="003A174E">
        <w:rPr>
          <w:rFonts w:ascii="Georgia" w:hAnsi="Georgia"/>
          <w:i/>
          <w:sz w:val="24"/>
          <w:szCs w:val="24"/>
        </w:rPr>
        <w:t xml:space="preserve"> de aplicación de una lista de elegibles, la administración deberá adelantar acciones afirmativas para que en lo posible sean reubicados en otros empleos vacantes o sean los últimos en ser retirados, lo anterior sin perjuicio del derecho preferencial de la persona que está en la lista de ser nombrado en el respectivo empleo.</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Pr>
          <w:rFonts w:ascii="Georgia" w:hAnsi="Georgia"/>
          <w:b/>
          <w:i/>
          <w:color w:val="000000"/>
          <w:sz w:val="24"/>
          <w:szCs w:val="24"/>
          <w:lang w:val="es-ES_tradnl"/>
        </w:rPr>
        <w:t>ARTÍCULO 266</w:t>
      </w:r>
      <w:r w:rsidRPr="003A174E">
        <w:rPr>
          <w:rFonts w:ascii="Georgia" w:hAnsi="Georgia"/>
          <w:b/>
          <w:i/>
          <w:color w:val="000000"/>
          <w:sz w:val="24"/>
          <w:szCs w:val="24"/>
          <w:lang w:val="es-ES_tradnl"/>
        </w:rPr>
        <w:t xml:space="preserve">º (NUEVO). INFRAESTRUCTURA PARA PROYECTOS TURÍSTICOS ESPECIALES – PTE. </w:t>
      </w:r>
      <w:r w:rsidRPr="003A174E">
        <w:rPr>
          <w:rFonts w:ascii="Georgia" w:hAnsi="Georgia"/>
          <w:i/>
          <w:color w:val="000000"/>
          <w:sz w:val="24"/>
          <w:szCs w:val="24"/>
          <w:lang w:val="es-ES_tradnl"/>
        </w:rPr>
        <w:t>Modifíquese el artículo 18 de la Ley 300 de 1996, cuyo texto será el siguiente:</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lastRenderedPageBreak/>
        <w:t>ARTÍULO 18. INFRAESTRUCTURA PARA PROYECTOS TURÍSTICOS ESPECIALES – PTE. Son el conjunto de acciones técnica y jurídicamente definidas y evaluadas que están orientadas a la planeación reglamentación, financiación y ejecución de la infraestructura que se requiere para el desarrollo de proyectos turísticos de gran escala en áreas del territorio nacional en la que teniendo en cuenta su ubicación geográfica, valores culturales y/o ambientales y/o sociales, así como la factibilidad de conectividad, se convierten en sitios de alta importancia estratégica para el desarrollo o mejoramiento del potencial turístico del país.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La determinación, delimitación, reglamentación, priorización y aprobación de los sitios en los cuales se desarrollará la infraestructura para Proyectos Turísticos Especiales – PTE, así como de sus esquemas de financiación y ejecución corresponde al Ministerio de Industria,  Comercio y Turismo quien adelantará dichas acciones en coordinación con los alcaldes municipales y distritales de los territorios incluidos, y constituye determinante de superior jerarquía en los términos del artículo 10 de la Ley 388 de 1997.</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Cuando los proyectos incluyan o afecten áreas del Sistema Nacional de Áreas Protegidas -</w:t>
      </w:r>
      <w:r>
        <w:rPr>
          <w:rFonts w:ascii="Georgia" w:hAnsi="Georgia"/>
          <w:i/>
          <w:color w:val="000000"/>
          <w:sz w:val="24"/>
          <w:szCs w:val="24"/>
          <w:lang w:val="es-ES_tradnl"/>
        </w:rPr>
        <w:t xml:space="preserve"> </w:t>
      </w:r>
      <w:r w:rsidRPr="003A174E">
        <w:rPr>
          <w:rFonts w:ascii="Georgia" w:hAnsi="Georgia"/>
          <w:i/>
          <w:color w:val="000000"/>
          <w:sz w:val="24"/>
          <w:szCs w:val="24"/>
          <w:lang w:val="es-ES_tradnl"/>
        </w:rPr>
        <w:t>SINAP y/o sus zonas de amortiguación, o Bienes de Interés Cultural del ámbito nacional, deberán tener en cuenta las reglamentaciones vigentes para cada uno de ellos expedidas por las autoridades competentes.</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En todo caso, para la ejecución de la infraestructura de los Proyectos Turísticos Especiales – PTE se requerirá que la Autoridad Nacional de Licencias Ambientales – ANLA apruebe previamente un Plan de Manejo Ambiental que incluya de manera detallada las medidas y actividades para prevenir, mitigar, corregir o compensar los posibles impactos y/o efectos ambientales identificados. De igual manera dicha autoridad expedirá los permisos ambientales correspondientes para el uso de los recursos naturales en caso de requerirse.</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En el acto administrativo que determine el desarrollo del proyecto de infraestructura para Proyecto Turístico Especial se hará el anuncio del proyecto para los efectos del parágrafo 1 del artículo 61 de la Ley 388 de 1997.</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Los recursos para la adquisición de los predios pueden provenir de terceros y se podrá aplicar el procedimiento previsto en los artículos 63 y siguientes de la Ley 388 de 1997.</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color w:val="000000"/>
          <w:sz w:val="24"/>
          <w:szCs w:val="24"/>
          <w:lang w:val="es-ES_tradnl"/>
        </w:rPr>
      </w:pPr>
      <w:r w:rsidRPr="003A174E">
        <w:rPr>
          <w:rFonts w:ascii="Georgia" w:hAnsi="Georgia"/>
          <w:i/>
          <w:color w:val="000000"/>
          <w:sz w:val="24"/>
          <w:szCs w:val="24"/>
          <w:lang w:val="es-ES_tradnl"/>
        </w:rPr>
        <w:t>Las entidades públicas podrán participar en la ejecución de los Proyectos mediante la celebración de, entre otros, contratos de fiducia con sujeción a las reglas generales y del derecho comercial, sin las limitaciones y restricciones previstas en el numeral 5 del artículo 32 de la Ley 80 de 1993.</w:t>
      </w:r>
    </w:p>
    <w:p w:rsidR="00EC45FF" w:rsidRPr="003A174E" w:rsidRDefault="00EC45FF" w:rsidP="00EC45FF">
      <w:pPr>
        <w:spacing w:afterLines="20" w:after="48" w:line="240" w:lineRule="auto"/>
        <w:jc w:val="both"/>
        <w:rPr>
          <w:rFonts w:ascii="Georgia" w:hAnsi="Georgia"/>
          <w:i/>
          <w:color w:val="000000"/>
          <w:sz w:val="24"/>
          <w:szCs w:val="24"/>
          <w:lang w:val="es-ES_tradnl"/>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lang w:val="es-CO"/>
        </w:rPr>
        <w:t>ARTÍCULO 267</w:t>
      </w:r>
      <w:r w:rsidRPr="003A174E">
        <w:rPr>
          <w:rFonts w:ascii="Georgia" w:hAnsi="Georgia"/>
          <w:b/>
          <w:i/>
          <w:sz w:val="24"/>
          <w:szCs w:val="24"/>
          <w:lang w:val="es-CO"/>
        </w:rPr>
        <w:t xml:space="preserve">°. ARTICULACIÓN DEL PLAN NACIONAL DE DESARROLLO CON EL PLAN ESPECIAL PARA EL DESARROLLO DE </w:t>
      </w:r>
      <w:r w:rsidRPr="003A174E">
        <w:rPr>
          <w:rFonts w:ascii="Georgia" w:hAnsi="Georgia"/>
          <w:b/>
          <w:i/>
          <w:sz w:val="24"/>
          <w:szCs w:val="24"/>
          <w:lang w:val="es-CO"/>
        </w:rPr>
        <w:lastRenderedPageBreak/>
        <w:t xml:space="preserve">BUENAVENTURA </w:t>
      </w:r>
      <w:r w:rsidRPr="003A174E">
        <w:rPr>
          <w:rFonts w:ascii="Georgia" w:hAnsi="Georgia"/>
          <w:i/>
          <w:sz w:val="24"/>
          <w:szCs w:val="24"/>
        </w:rPr>
        <w:t>A través del presente Plan Nacional de Desarrollo, se garantizarán la inclusión y articulación de las “inversiones prioritarias” del Plan Especial para el desarrollo de Buenaventura, en cumplimiento de los parágrafos 4 y 5 del artículo 5 de la Ley 1872 de 2017.</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268</w:t>
      </w:r>
      <w:r w:rsidRPr="003A174E">
        <w:rPr>
          <w:rFonts w:ascii="Georgia" w:hAnsi="Georgia"/>
          <w:b/>
          <w:i/>
          <w:sz w:val="24"/>
          <w:szCs w:val="24"/>
          <w:lang w:val="es-CO"/>
        </w:rPr>
        <w:t>º. FONDO PACTO POR EL CHOCÓ.</w:t>
      </w:r>
      <w:r w:rsidRPr="003A174E">
        <w:rPr>
          <w:rFonts w:ascii="Georgia" w:hAnsi="Georgia"/>
          <w:i/>
          <w:sz w:val="24"/>
          <w:szCs w:val="24"/>
          <w:lang w:val="es-CO"/>
        </w:rPr>
        <w:t xml:space="preserve"> Créase el Fondo Pacto por el Chocó como Patrimonio Autónomo con personería jurídica adscrito al Departamento Nacional de Planeación que tendrá como objeto promover el desarrollo sostenible en las tres (3) cuencas hidrográficas principales del Departamento del Chocó (Atrato, Sanjuán y Baudó), y en especial: a) La recuperación de la navegabilidad y de la actividad portuaria; b) La adecuación y conservación de tierras; c) La generación y distribución de energía; d) La ejecución de obras de infraestructura y saneamiento básico; e) El fortalecimiento de las políticas de comunicación; f) La seguridad alimentaria; g) el Fomento y promoción del turismo; h) La explotación acuícola sostenible.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269</w:t>
      </w:r>
      <w:r w:rsidRPr="003A174E">
        <w:rPr>
          <w:rFonts w:ascii="Georgia" w:hAnsi="Georgia"/>
          <w:b/>
          <w:i/>
          <w:sz w:val="24"/>
          <w:szCs w:val="24"/>
          <w:lang w:val="es-CO"/>
        </w:rPr>
        <w:t>°. RECONOCIMIENTO COSTOS DE TRANSPORTE.</w:t>
      </w:r>
      <w:r w:rsidRPr="003A174E">
        <w:rPr>
          <w:rFonts w:ascii="Georgia" w:hAnsi="Georgia"/>
          <w:i/>
          <w:sz w:val="24"/>
          <w:szCs w:val="24"/>
          <w:lang w:val="es-CO"/>
        </w:rPr>
        <w:t xml:space="preserve"> Durante la vigencia de la presente Ley, la Nación, a través del Ministerio de Minas y Energía, sin perjuicio de lo establecido en el artículo 55 de la Ley 191 de 1995, podrá reconocer el costo del transporte terrestre de los combustibles líquidos derivados del petróleo que se suministre desde las plantas de abastecimiento ubicados en el Departamento de Nariño hasta la capital de dicho departamento y los demás municipios.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rPr>
        <w:t xml:space="preserve">ARTÍCULO </w:t>
      </w:r>
      <w:r>
        <w:rPr>
          <w:rFonts w:ascii="Georgia" w:hAnsi="Georgia"/>
          <w:b/>
          <w:i/>
          <w:sz w:val="24"/>
          <w:szCs w:val="24"/>
          <w:lang w:val="es-ES"/>
        </w:rPr>
        <w:t>270</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 xml:space="preserve">. </w:t>
      </w:r>
      <w:r w:rsidRPr="003A174E">
        <w:rPr>
          <w:rFonts w:ascii="Georgia" w:hAnsi="Georgia"/>
          <w:b/>
          <w:i/>
          <w:sz w:val="24"/>
          <w:szCs w:val="24"/>
          <w:lang w:val="es-ES"/>
        </w:rPr>
        <w:t xml:space="preserve">ZONA ECONÓMICA Y SOCIAL ESPECIAL – ZESE PARA LA GUAJIRA, NORTE DE SANTANDER Y ARAUCA. </w:t>
      </w:r>
      <w:r w:rsidRPr="003A174E">
        <w:rPr>
          <w:rFonts w:ascii="Georgia" w:hAnsi="Georgia"/>
          <w:i/>
          <w:sz w:val="24"/>
          <w:szCs w:val="24"/>
          <w:lang w:val="es-ES"/>
        </w:rPr>
        <w:t>Créese un régimen especial en materia tributaria para los departamentos de La Guajira, Norte de Santander y Arauca, para atraer inversión nacional y extranjera y así contribuir al mejoramiento de las condiciones de vida de su población y la generación de empleo.</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o comerciales.</w:t>
      </w:r>
    </w:p>
    <w:p w:rsidR="00EC45FF" w:rsidRPr="003A174E" w:rsidRDefault="00EC45FF" w:rsidP="00EC45FF">
      <w:pPr>
        <w:spacing w:after="0"/>
        <w:jc w:val="both"/>
        <w:rPr>
          <w:rFonts w:ascii="Georgia" w:hAnsi="Georgia"/>
          <w:b/>
          <w:i/>
          <w:sz w:val="24"/>
          <w:szCs w:val="24"/>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El beneficiario deberá desarrollar toda su actividad económica en la ZESE y los productos que prepare o provea podrá ser vendidos y despachados en la misma o ser destinados a lugares del territorio nacional o al exterior.</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lastRenderedPageBreak/>
        <w:t>La tarifa del impuesto sobre la renta aplicable a los beneficiarios de la ZESE será del 0% durante los primeros cinco (5) años contados a partir de la constitución de la sociedad, y del 50% de la tarifa general para los siguientes cinco (5) años.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i/>
          <w:sz w:val="24"/>
          <w:szCs w:val="24"/>
          <w:lang w:val="es-ES"/>
        </w:rPr>
        <w:t>Cuando se efectúen pagos o abonos en cuenta a un beneficiario de la ZESE, la tarifa de retención en la fuente se calculará en forma proporcional al porcentaje de la tarifa del impuesto sobre la renta y complementarios del beneficiario.</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lang w:val="es-ES"/>
        </w:rPr>
        <w:t xml:space="preserve">PARÁGRAFO PRIMERO: </w:t>
      </w:r>
      <w:r w:rsidRPr="003A174E">
        <w:rPr>
          <w:rFonts w:ascii="Georgia" w:hAnsi="Georgia"/>
          <w:i/>
          <w:sz w:val="24"/>
          <w:szCs w:val="24"/>
          <w:lang w:val="es-ES"/>
        </w:rPr>
        <w:t xml:space="preserve">Durante los diez (10) años siguientes los beneficiarios de la ZESE enviarán antes del 30 de marzo del año siguiente gravable a la Dirección Seccional respectiva o la que haga sus veces de la Unidad Administrativa Especial de Impuestos y Adunas Nacionales – DIAN, los siguientes documentos, los cuales esta entidad verificará con la declaración de impuesto sobre la renta correspondiente. </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numPr>
          <w:ilvl w:val="1"/>
          <w:numId w:val="10"/>
        </w:numPr>
        <w:spacing w:after="0"/>
        <w:contextualSpacing/>
        <w:jc w:val="both"/>
        <w:rPr>
          <w:rFonts w:ascii="Georgia" w:hAnsi="Georgia"/>
          <w:i/>
          <w:sz w:val="24"/>
          <w:szCs w:val="24"/>
        </w:rPr>
      </w:pPr>
      <w:r w:rsidRPr="003A174E">
        <w:rPr>
          <w:rFonts w:ascii="Georgia" w:hAnsi="Georgia"/>
          <w:i/>
          <w:sz w:val="24"/>
          <w:szCs w:val="24"/>
        </w:rPr>
        <w:t>Declaración juramentada del beneficiario ante notario público, en la cual conste que se encuentra instalado físicamente en la jurisdicción de cualquiera de los departamentos a los que se refiere el presente artículo y que se acoge al régimen de la ZESE.</w:t>
      </w:r>
    </w:p>
    <w:p w:rsidR="00EC45FF" w:rsidRPr="003A174E" w:rsidRDefault="00EC45FF" w:rsidP="00EC45FF">
      <w:pPr>
        <w:numPr>
          <w:ilvl w:val="1"/>
          <w:numId w:val="10"/>
        </w:numPr>
        <w:spacing w:after="0"/>
        <w:contextualSpacing/>
        <w:jc w:val="both"/>
        <w:rPr>
          <w:rFonts w:ascii="Georgia" w:hAnsi="Georgia"/>
          <w:i/>
          <w:sz w:val="24"/>
          <w:szCs w:val="24"/>
        </w:rPr>
      </w:pPr>
      <w:r w:rsidRPr="003A174E">
        <w:rPr>
          <w:rFonts w:ascii="Georgia" w:hAnsi="Georgia"/>
          <w:i/>
          <w:sz w:val="24"/>
          <w:szCs w:val="24"/>
        </w:rPr>
        <w:t>Certificado de Existencia y Representación Legal.</w:t>
      </w:r>
    </w:p>
    <w:p w:rsidR="00EC45FF" w:rsidRPr="003A174E" w:rsidRDefault="00EC45FF" w:rsidP="00EC45FF">
      <w:pPr>
        <w:numPr>
          <w:ilvl w:val="1"/>
          <w:numId w:val="10"/>
        </w:numPr>
        <w:spacing w:after="0"/>
        <w:contextualSpacing/>
        <w:jc w:val="both"/>
        <w:rPr>
          <w:rFonts w:ascii="Georgia" w:hAnsi="Georgia"/>
          <w:i/>
          <w:sz w:val="24"/>
          <w:szCs w:val="24"/>
        </w:rPr>
      </w:pPr>
      <w:r w:rsidRPr="003A174E">
        <w:rPr>
          <w:rFonts w:ascii="Georgia" w:hAnsi="Georgia"/>
          <w:i/>
          <w:sz w:val="24"/>
          <w:szCs w:val="24"/>
        </w:rPr>
        <w:t>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lang w:val="es-ES"/>
        </w:rPr>
        <w:t xml:space="preserve">PARÁGRAFO SEGUNDO. </w:t>
      </w:r>
      <w:r w:rsidRPr="003A174E">
        <w:rPr>
          <w:rFonts w:ascii="Georgia" w:hAnsi="Georgia"/>
          <w:i/>
          <w:sz w:val="24"/>
          <w:szCs w:val="24"/>
          <w:lang w:val="es-ES"/>
        </w:rPr>
        <w:t xml:space="preserve">El Gobierno nacional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 </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lang w:val="es-ES"/>
        </w:rPr>
        <w:t xml:space="preserve">PARÁGRAFO TERCERO: </w:t>
      </w:r>
      <w:r w:rsidRPr="003A174E">
        <w:rPr>
          <w:rFonts w:ascii="Georgia" w:hAnsi="Georgia"/>
          <w:i/>
          <w:sz w:val="24"/>
          <w:szCs w:val="24"/>
          <w:lang w:val="es-ES"/>
        </w:rPr>
        <w:t>El presente artículo no es aplicable a las empresas dedicadas a la actividad portuaria o a las actividades de exploración y explotación de minerales e hidrocarburos.</w:t>
      </w:r>
    </w:p>
    <w:p w:rsidR="00EC45FF" w:rsidRPr="003A174E" w:rsidRDefault="00EC45FF" w:rsidP="00EC45FF">
      <w:pPr>
        <w:spacing w:after="0"/>
        <w:jc w:val="both"/>
        <w:rPr>
          <w:rFonts w:ascii="Georgia" w:hAnsi="Georgia"/>
          <w:i/>
          <w:sz w:val="24"/>
          <w:szCs w:val="24"/>
          <w:lang w:val="es-ES"/>
        </w:rPr>
      </w:pPr>
    </w:p>
    <w:p w:rsidR="00EC45FF" w:rsidRPr="003A174E" w:rsidRDefault="00EC45FF" w:rsidP="00EC45FF">
      <w:pPr>
        <w:spacing w:after="0"/>
        <w:jc w:val="both"/>
        <w:rPr>
          <w:rFonts w:ascii="Georgia" w:hAnsi="Georgia"/>
          <w:i/>
          <w:sz w:val="24"/>
          <w:szCs w:val="24"/>
          <w:lang w:val="es-ES"/>
        </w:rPr>
      </w:pPr>
      <w:r w:rsidRPr="003A174E">
        <w:rPr>
          <w:rFonts w:ascii="Georgia" w:hAnsi="Georgia"/>
          <w:b/>
          <w:i/>
          <w:sz w:val="24"/>
          <w:szCs w:val="24"/>
          <w:lang w:val="es-ES"/>
        </w:rPr>
        <w:t>PARÁGRAFO CUARTO:</w:t>
      </w:r>
      <w:r w:rsidRPr="003A174E">
        <w:rPr>
          <w:rFonts w:ascii="Georgia" w:hAnsi="Georgia"/>
          <w:i/>
          <w:sz w:val="24"/>
          <w:szCs w:val="24"/>
          <w:lang w:val="es-ES"/>
        </w:rPr>
        <w:t xml:space="preserve"> El presente artículo no es aplicable a las sociedades comerciales existentes que trasladen su domicilio fiscal a cualquiera de los Municipios pertenecientes a los Departamentos de que trata este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i/>
          <w:sz w:val="24"/>
          <w:szCs w:val="24"/>
        </w:rPr>
        <w:lastRenderedPageBreak/>
        <w:t xml:space="preserve">ARTÍCULO </w:t>
      </w:r>
      <w:r>
        <w:rPr>
          <w:rFonts w:ascii="Georgia" w:hAnsi="Georgia"/>
          <w:b/>
          <w:i/>
          <w:sz w:val="24"/>
          <w:szCs w:val="24"/>
          <w:lang w:val="es-ES"/>
        </w:rPr>
        <w:t>271</w:t>
      </w:r>
      <w:r w:rsidRPr="003A174E">
        <w:rPr>
          <w:rFonts w:ascii="Georgia" w:hAnsi="Georgia"/>
          <w:b/>
          <w:i/>
          <w:sz w:val="24"/>
          <w:szCs w:val="24"/>
        </w:rPr>
        <w:t xml:space="preserve">°. REDUCCIÓN DE LA VULNERABILIDAD FISCAL DEL ESTADO FRENTE A DESASTRES. </w:t>
      </w:r>
      <w:r w:rsidRPr="003A174E">
        <w:rPr>
          <w:rFonts w:ascii="Georgia" w:hAnsi="Georgia"/>
          <w:i/>
          <w:sz w:val="24"/>
          <w:szCs w:val="24"/>
        </w:rPr>
        <w:t>Modifíquese el artículo 220 de la Ley 1450 de 2011</w:t>
      </w:r>
      <w:r w:rsidRPr="003A174E">
        <w:rPr>
          <w:rFonts w:ascii="Georgia" w:hAnsi="Georgia"/>
          <w:bCs/>
          <w:i/>
          <w:sz w:val="24"/>
          <w:szCs w:val="24"/>
          <w:lang w:val="es-CO"/>
        </w:rPr>
        <w:t xml:space="preserve">, el cual quedará así: </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ARTÍCULO 220. REDUCCIÓN DE LA VULNERABILIDAD FISCAL DEL ESTADO FRENTE A DESASTRES. El Ministerio de Hacienda y Crédito Público diseñará una estrategia para la gestión financiera, el aseguramiento y la mitigación ante riesgos de desastres de origen natural y/o antrópico no intencional. Dicha estrategia estará orientada a la reducción de la vulnerabilidad fiscal del Estado.</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PARÁGRAFO 1.</w:t>
      </w:r>
      <w:r w:rsidRPr="003A174E">
        <w:rPr>
          <w:rFonts w:ascii="Georgia" w:hAnsi="Georgia"/>
          <w:bCs/>
          <w:i/>
          <w:sz w:val="24"/>
          <w:szCs w:val="24"/>
          <w:lang w:val="es-CO"/>
        </w:rPr>
        <w:t xml:space="preserve"> Como parte de la estrategia de la que trata el inciso primero, el Ministerio de Hacienda y Crédito Público evaluará, entre otros, la estructuración y/o implementación de mecanismos de protección financiera de diversa índole, incluyendo mecanismos de aseguramiento que permitan aprovechar los beneficios de la diversificación, así como la formulación de esquemas, mandatos o incentivos que promuevan y/o posibiliten en las entidades estatales la gestión financiera del riesgo de desastres de origen natural y/o antrópico no intencional.</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
          <w:bCs/>
          <w:i/>
          <w:sz w:val="24"/>
          <w:szCs w:val="24"/>
          <w:lang w:val="es-CO"/>
        </w:rPr>
        <w:t>PARÁGRAFO 2.</w:t>
      </w:r>
      <w:r w:rsidRPr="003A174E">
        <w:rPr>
          <w:rFonts w:ascii="Georgia" w:hAnsi="Georgia"/>
          <w:bCs/>
          <w:i/>
          <w:sz w:val="24"/>
          <w:szCs w:val="24"/>
          <w:lang w:val="es-CO"/>
        </w:rPr>
        <w:t xml:space="preserve"> El Ministerio de Hacienda y Crédito Público podrá, con cargo a los recursos del Presupuesto General de la Nación gestionar, adquirir y/o celebrar con entidades nacionales y/o extranjeras los instrumentos y/o contratos que permitan el aseguramiento y/o cubrimiento de dichos eventos.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bCs/>
          <w:i/>
          <w:sz w:val="24"/>
          <w:szCs w:val="24"/>
          <w:lang w:val="es-CO"/>
        </w:rPr>
        <w:t>PARÁGRAFO 3.</w:t>
      </w:r>
      <w:r w:rsidRPr="003A174E">
        <w:rPr>
          <w:rFonts w:ascii="Georgia" w:hAnsi="Georgia"/>
          <w:bCs/>
          <w:i/>
          <w:sz w:val="24"/>
          <w:szCs w:val="24"/>
          <w:lang w:val="es-CO"/>
        </w:rPr>
        <w:t xml:space="preserve"> La modalidad de selección para los instrumentos y/o contratos de los que</w:t>
      </w:r>
      <w:r w:rsidRPr="003A174E">
        <w:rPr>
          <w:rFonts w:ascii="Georgia" w:hAnsi="Georgia"/>
          <w:i/>
          <w:sz w:val="24"/>
          <w:szCs w:val="24"/>
        </w:rPr>
        <w:t xml:space="preserve"> trata el presente artículo se contratarán en forma directa; y se someterán a la jurisdicción que decidan las partes.</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272</w:t>
      </w:r>
      <w:r w:rsidRPr="003A174E">
        <w:rPr>
          <w:rFonts w:ascii="Georgia" w:hAnsi="Georgia"/>
          <w:b/>
          <w:i/>
          <w:sz w:val="24"/>
          <w:szCs w:val="24"/>
          <w:lang w:val="es-CO"/>
        </w:rPr>
        <w:t>°. OBLIGACIÓN DE PRONTO PAGO EN CONTRATOS Y ACTOS MERCANTILES.</w:t>
      </w:r>
      <w:r w:rsidRPr="003A174E">
        <w:rPr>
          <w:rFonts w:ascii="Georgia" w:hAnsi="Georgia"/>
          <w:i/>
          <w:sz w:val="24"/>
          <w:szCs w:val="24"/>
          <w:lang w:val="es-CO"/>
        </w:rPr>
        <w:t xml:space="preserve"> El Gobierno nacional establecerá las condiciones para reglamentar el pago en plazos justos de operaciones comerciales derivadas de actos mercantiles entre particulares con los objetivos de promover la competitividad empresarial, mejorar la liquidez de las empresas proveedoras y reducir las demoras en el pago una vez se ha finalizado la provisión de los bienes y servicios.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273</w:t>
      </w:r>
      <w:r w:rsidRPr="003A174E">
        <w:rPr>
          <w:rFonts w:ascii="Georgia" w:hAnsi="Georgia"/>
          <w:b/>
          <w:i/>
          <w:sz w:val="24"/>
          <w:szCs w:val="24"/>
          <w:lang w:val="es-ES"/>
        </w:rPr>
        <w:t>°</w:t>
      </w:r>
      <w:r w:rsidRPr="003A174E">
        <w:rPr>
          <w:rFonts w:ascii="Georgia" w:hAnsi="Georgia"/>
          <w:b/>
          <w:i/>
          <w:sz w:val="24"/>
          <w:szCs w:val="24"/>
        </w:rPr>
        <w:t>. TRANSFERENCIA DE ZONAS FRANCAS DE FRONTERA A ENTIDADES TERRITORIALES.</w:t>
      </w:r>
      <w:r w:rsidRPr="003A174E">
        <w:rPr>
          <w:rFonts w:ascii="Georgia" w:hAnsi="Georgia"/>
          <w:b/>
          <w:i/>
          <w:sz w:val="24"/>
          <w:szCs w:val="24"/>
          <w:lang w:val="es-ES"/>
        </w:rPr>
        <w:t xml:space="preserve"> </w:t>
      </w:r>
      <w:r w:rsidRPr="003A174E">
        <w:rPr>
          <w:rFonts w:ascii="Georgia" w:hAnsi="Georgia"/>
          <w:i/>
          <w:sz w:val="24"/>
          <w:szCs w:val="24"/>
        </w:rPr>
        <w:t xml:space="preserve">Con el propósito de incentivar el desarrollo industrial, el crecimiento económico de los territorios de frontera, los flujos de inversión extranjera directa y las cadenas de valor global para el aumento de la productividad, el Ministerio de Comercio, Industria y Turismo, transferirá a título gratuito las Zonas Francas localizadas en municipios de frontera a los entes territoriales donde ellas se ubican, esta transferencia implicará el derecho real de dominio y posición sobre el predio, sus construcciones, instalaciones y obras de infraestructura, sin restricción alguna del uso, goce y disposición de esos derechos, salvo la relativa a la destinación del predio, para un único y exclusivo del </w:t>
      </w:r>
      <w:r w:rsidRPr="003A174E">
        <w:rPr>
          <w:rFonts w:ascii="Georgia" w:hAnsi="Georgia"/>
          <w:i/>
          <w:sz w:val="24"/>
          <w:szCs w:val="24"/>
        </w:rPr>
        <w:lastRenderedPageBreak/>
        <w:t xml:space="preserve">regímenes de Zona Francas, el cual no podrá ser modificado si no por reglamentación expresa del Gobierno Nacional, en virtud de lo previsto en el artículo </w:t>
      </w:r>
      <w:r w:rsidRPr="003A174E">
        <w:rPr>
          <w:rFonts w:ascii="Georgia" w:hAnsi="Georgia"/>
          <w:i/>
          <w:sz w:val="24"/>
          <w:szCs w:val="24"/>
          <w:lang w:val="es-CO"/>
        </w:rPr>
        <w:t>4 de la Ley 1004 de 2005. Esta previsión será de aplicación a las transferencias realizadas</w:t>
      </w:r>
      <w:r w:rsidRPr="003A174E">
        <w:rPr>
          <w:rFonts w:ascii="Georgia" w:hAnsi="Georgia"/>
          <w:i/>
          <w:sz w:val="24"/>
          <w:szCs w:val="24"/>
        </w:rPr>
        <w:t xml:space="preserve"> en virtud del artículo 258 de la Ley 1753 de 2015.</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274</w:t>
      </w:r>
      <w:r w:rsidRPr="003A174E">
        <w:rPr>
          <w:rFonts w:ascii="Georgia" w:hAnsi="Georgia"/>
          <w:b/>
          <w:i/>
          <w:sz w:val="24"/>
          <w:szCs w:val="24"/>
          <w:lang w:val="es-CO"/>
        </w:rPr>
        <w:t>º (NUEVO). BIENES QUE NO CAUSAN EL IMPUESTO.</w:t>
      </w:r>
      <w:r w:rsidRPr="003A174E">
        <w:rPr>
          <w:rFonts w:ascii="Georgia" w:hAnsi="Georgia"/>
          <w:i/>
          <w:sz w:val="24"/>
          <w:szCs w:val="24"/>
          <w:lang w:val="es-CO"/>
        </w:rPr>
        <w:t xml:space="preserve"> Modifíquese el numeral 13 del artículo 424 del Estatuto Tributario,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13. El consumo humano y animal, vestuario, elementos de aseo y medicamentos para uso humano o veterinario, materiales de construcción que se introduzcan y comercialicen a los departamentos de Amazonas, Guainía, Guaviare, Vaupés y Vichada, siempre y cuando se destinen exclusivamente al consumo dentro del mismo departamento. El Gobierno nacional reglamentará la materia para garantizar que la exclusión del IVA se aplique en las ventas al consumidor final.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ART</w:t>
      </w:r>
      <w:r w:rsidRPr="003A174E">
        <w:rPr>
          <w:rFonts w:ascii="Georgia" w:hAnsi="Georgia"/>
          <w:b/>
          <w:i/>
          <w:sz w:val="24"/>
          <w:szCs w:val="24"/>
          <w:lang w:val="es-ES"/>
        </w:rPr>
        <w:t>Í</w:t>
      </w:r>
      <w:r w:rsidRPr="003A174E">
        <w:rPr>
          <w:rFonts w:ascii="Georgia" w:hAnsi="Georgia"/>
          <w:b/>
          <w:i/>
          <w:sz w:val="24"/>
          <w:szCs w:val="24"/>
        </w:rPr>
        <w:t xml:space="preserve">CULO </w:t>
      </w:r>
      <w:r>
        <w:rPr>
          <w:rFonts w:ascii="Georgia" w:hAnsi="Georgia"/>
          <w:b/>
          <w:i/>
          <w:sz w:val="24"/>
          <w:szCs w:val="24"/>
          <w:lang w:val="es-ES"/>
        </w:rPr>
        <w:t>275</w:t>
      </w:r>
      <w:r w:rsidRPr="003A174E">
        <w:rPr>
          <w:rFonts w:ascii="Georgia" w:hAnsi="Georgia"/>
          <w:b/>
          <w:i/>
          <w:sz w:val="24"/>
          <w:szCs w:val="24"/>
          <w:lang w:val="es-ES"/>
        </w:rPr>
        <w:t>º</w:t>
      </w:r>
      <w:r w:rsidRPr="003A174E">
        <w:rPr>
          <w:rFonts w:ascii="Georgia" w:hAnsi="Georgia"/>
          <w:b/>
          <w:i/>
          <w:sz w:val="24"/>
          <w:szCs w:val="24"/>
        </w:rPr>
        <w:t xml:space="preserve"> (NUEVO). BIENES QUE SE ENCUENTRAN EXENTOS DEL IMPUESTO</w:t>
      </w:r>
      <w:r w:rsidRPr="003A174E">
        <w:rPr>
          <w:rFonts w:ascii="Georgia" w:hAnsi="Georgia"/>
          <w:i/>
          <w:sz w:val="24"/>
          <w:szCs w:val="24"/>
        </w:rPr>
        <w:t xml:space="preserve">. Adiciónese el numeral 6 al artículo 477 del Estatuto Tributario, el </w:t>
      </w:r>
      <w:r w:rsidRPr="003A174E">
        <w:rPr>
          <w:rFonts w:ascii="Georgia" w:hAnsi="Georgia"/>
          <w:i/>
          <w:sz w:val="24"/>
          <w:szCs w:val="24"/>
          <w:lang w:val="es-CO"/>
        </w:rPr>
        <w:t>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6. 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 También estarán exentos los bienes indicados anteriormente que se importen al territorio aduanero nacional y que se destinen posteriormente exclusivamente a estos departamentos.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lang w:val="es-CO"/>
        </w:rPr>
        <w:t>El Gobierno</w:t>
      </w:r>
      <w:r w:rsidRPr="003A174E">
        <w:rPr>
          <w:rFonts w:ascii="Georgia" w:hAnsi="Georgia"/>
          <w:i/>
          <w:sz w:val="24"/>
          <w:szCs w:val="24"/>
        </w:rPr>
        <w:t xml:space="preserve"> nacional reglamentará la materia para garantizar que la extensión del IVA se aplique en las ventas al consumidor final.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276</w:t>
      </w:r>
      <w:r w:rsidRPr="003A174E">
        <w:rPr>
          <w:rFonts w:ascii="Georgia" w:hAnsi="Georgia"/>
          <w:b/>
          <w:i/>
          <w:sz w:val="24"/>
          <w:szCs w:val="24"/>
          <w:lang w:val="es-CO"/>
        </w:rPr>
        <w:t>°. ARANCEL A LAS IMPORTACIONES.</w:t>
      </w:r>
      <w:r w:rsidRPr="003A174E">
        <w:rPr>
          <w:rFonts w:ascii="Georgia" w:hAnsi="Georgia"/>
          <w:i/>
          <w:sz w:val="24"/>
          <w:szCs w:val="24"/>
          <w:lang w:val="es-CO"/>
        </w:rPr>
        <w:t xml:space="preserve"> Se establecerá un arancel de treinta y siete punto nueve por ciento (37.9%) a las importaciones de productos clasificados en los capítulos 61 y 62 del Arancel de Aduanas Nacional, cuando el precio FOB declarado sea inferior o igual a 20 dólares de los Estados Unidos de América por kilo bruto.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277</w:t>
      </w:r>
      <w:r w:rsidRPr="003A174E">
        <w:rPr>
          <w:rFonts w:ascii="Georgia" w:hAnsi="Georgia"/>
          <w:b/>
          <w:i/>
          <w:sz w:val="24"/>
          <w:szCs w:val="24"/>
          <w:lang w:val="es-CO"/>
        </w:rPr>
        <w:t>°. ARANCEL DE ADUANAS NACIONALES.</w:t>
      </w:r>
      <w:r w:rsidRPr="003A174E">
        <w:rPr>
          <w:rFonts w:ascii="Georgia" w:hAnsi="Georgia"/>
          <w:i/>
          <w:sz w:val="24"/>
          <w:szCs w:val="24"/>
          <w:lang w:val="es-CO"/>
        </w:rPr>
        <w:t xml:space="preserve"> Se establecerá un arancel del 10% ad valorem, más tres dólares de los Estados Unidos de América por kilogramo bruto, para precios por kilogramo a partir de los 20 dólares USD, en los capítulos 61 y 62 del Arancel de Aduanas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278</w:t>
      </w:r>
      <w:r w:rsidRPr="003A174E">
        <w:rPr>
          <w:rFonts w:ascii="Georgia" w:hAnsi="Georgia"/>
          <w:b/>
          <w:i/>
          <w:sz w:val="24"/>
          <w:szCs w:val="24"/>
          <w:lang w:val="es-CO"/>
        </w:rPr>
        <w:t xml:space="preserve">º. TRANSFERENCIA DE DOMINIO DE BIENES INMUEBLES FISCALES ENTRE ENTIDADES. </w:t>
      </w:r>
      <w:r w:rsidRPr="003A174E">
        <w:rPr>
          <w:rFonts w:ascii="Georgia" w:hAnsi="Georgia"/>
          <w:i/>
          <w:sz w:val="24"/>
          <w:szCs w:val="24"/>
          <w:lang w:val="es-CO"/>
        </w:rPr>
        <w:t xml:space="preserve">Los bienes inmuebles fiscales </w:t>
      </w:r>
      <w:r w:rsidRPr="003A174E">
        <w:rPr>
          <w:rFonts w:ascii="Georgia" w:hAnsi="Georgia"/>
          <w:i/>
          <w:sz w:val="24"/>
          <w:szCs w:val="24"/>
          <w:lang w:val="es-CO"/>
        </w:rPr>
        <w:lastRenderedPageBreak/>
        <w:t>de propiedad de las entidades públicas del orden nacional de carácter no financiero, que hagan parte de cualquiera de las Ramas del Poder Público, así como de los órganos autónomos e independientes, que no los requieran para el ejercicio de sus funciones, podrán ser transferidos a título gratuito a las entidades del orden nacional y territorial con el fin de atender necesidades en materia de infraestructura y vivienda, sin importar el resultado de la operación en la entidad cedente. Cuando la entidad territorial no necesite dicho inmueble, la Nación aplicará lo dispuesto en el artículo 163 de la Ley 1753 de 2015.</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r w:rsidRPr="003A174E">
        <w:rPr>
          <w:rFonts w:ascii="Georgia" w:hAnsi="Georgia"/>
          <w:i/>
          <w:sz w:val="24"/>
          <w:szCs w:val="24"/>
          <w:lang w:val="es-CO"/>
        </w:rPr>
        <w:t>Las entidades territoriales podrán igualmente ceder a título gratuito a entidades del orden nacional bienes inmuebles fiscales de su propiedad, sin importar el resultado de la operación en el patrimonio de la entidad cedente.</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Transferido el inmueble la entidad receptora será la encargada de continuar con el saneamiento y/o titulación del mismo.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279</w:t>
      </w:r>
      <w:r w:rsidRPr="003A174E">
        <w:rPr>
          <w:rFonts w:ascii="Georgia" w:hAnsi="Georgia"/>
          <w:b/>
          <w:bCs/>
          <w:i/>
          <w:sz w:val="24"/>
          <w:szCs w:val="24"/>
          <w:lang w:val="es-CO"/>
        </w:rPr>
        <w:t>º. CESIÓN A TÍTULO GRATUITO O ENAJENACIÓN DE BIENES FISCALES</w:t>
      </w:r>
      <w:r w:rsidRPr="003A174E">
        <w:rPr>
          <w:rFonts w:ascii="Georgia" w:hAnsi="Georgia"/>
          <w:i/>
          <w:sz w:val="24"/>
          <w:szCs w:val="24"/>
          <w:lang w:val="es-CO"/>
        </w:rPr>
        <w:t>. Modifíquese el artículo 14 de la Ley 708 de 2001,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ARTÍCULO 14. CESIÓN A TÍTULO GRATUITO O ENAJENACIÓN DE DOMINIO DE BIENES FISCALES. Las entidades públicas podrán transferir mediante cesión a título gratuito la propiedad de los bienes inmuebles fiscales ocupados ilegalmente con mejoras y/o construcciones de destinación económica habitacional, siempre y cuando la ocupación ilegal haya </w:t>
      </w:r>
      <w:r w:rsidRPr="003A174E">
        <w:rPr>
          <w:rFonts w:ascii="Georgia" w:eastAsiaTheme="minorEastAsia" w:hAnsi="Georgia"/>
          <w:bCs/>
          <w:i/>
          <w:kern w:val="24"/>
          <w:sz w:val="24"/>
          <w:szCs w:val="24"/>
          <w:lang w:val="es-CO" w:eastAsia="es-CO"/>
        </w:rPr>
        <w:t xml:space="preserve">sido efectuada por un hogar que cumpla con las condiciones para ser beneficiario del subsidio de vivienda de interés social y haya </w:t>
      </w:r>
      <w:r w:rsidRPr="003A174E">
        <w:rPr>
          <w:rFonts w:ascii="Georgia" w:hAnsi="Georgia"/>
          <w:i/>
          <w:sz w:val="24"/>
          <w:szCs w:val="24"/>
          <w:lang w:val="es-CO"/>
        </w:rPr>
        <w:t>ocurrido de manera ininterrumpida con mínimo diez (10) años de anterioridad al inicio del procedimiento administrativo. La cesión gratuita se efectuará mediante resolución administrativa, la cual constituirá título de dominio y una vez inscrita en la correspondiente Oficina de Registro de Instrumentos Públicos, será plena prueba de la propiedad.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ningún caso procederá la cesión anterior tratándose de inmuebles con mejoras construidas sobre bienes de uso público o destinados a la salud y a la educación. Tampoco procederá cuando se trate de inmuebles ubicados en zonas insalubres o zonas de alto riesgo no mitigable, de conformidad con las disposiciones locales sobre la materia.</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1. </w:t>
      </w:r>
      <w:r w:rsidRPr="003A174E">
        <w:rPr>
          <w:rFonts w:ascii="Georgia" w:hAnsi="Georgia"/>
          <w:i/>
          <w:sz w:val="24"/>
          <w:szCs w:val="24"/>
          <w:lang w:val="es-CO"/>
        </w:rPr>
        <w:t>Para bienes inmuebles fiscales ocupados ilegalmente con mejoras que no cuenten con destinación económica habitacional, procederá la enajenación directa del predio fiscal por su valor catastral vigente a la fecha de la oferta. El Gobierno nacional reglamentará la materia.</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 xml:space="preserve">PARÁGRAFO 2. </w:t>
      </w:r>
      <w:r w:rsidRPr="003A174E">
        <w:rPr>
          <w:rFonts w:ascii="Georgia" w:hAnsi="Georgia"/>
          <w:i/>
          <w:sz w:val="24"/>
          <w:szCs w:val="24"/>
          <w:lang w:val="es-CO"/>
        </w:rPr>
        <w:t xml:space="preserve">Para los procesos de cesión a título gratuito o enajenación de dominio de bienes fiscales, no aplicarán las restricciones de transferencia de </w:t>
      </w:r>
      <w:r w:rsidRPr="003A174E">
        <w:rPr>
          <w:rFonts w:ascii="Georgia" w:hAnsi="Georgia"/>
          <w:i/>
          <w:sz w:val="24"/>
          <w:szCs w:val="24"/>
          <w:lang w:val="es-CO"/>
        </w:rPr>
        <w:lastRenderedPageBreak/>
        <w:t>derecho real o aquella que exige la residencia transcurridos diez (10) años desde la fecha de la transferencia, establecidas en el artículo 21 de la Ley 1537 de 2012.</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3</w:t>
      </w:r>
      <w:r w:rsidRPr="003A174E">
        <w:rPr>
          <w:rFonts w:ascii="Georgia" w:hAnsi="Georgia"/>
          <w:i/>
          <w:sz w:val="24"/>
          <w:szCs w:val="24"/>
          <w:lang w:val="es-CO"/>
        </w:rPr>
        <w:t>. En las resoluciones administrativas de transferencia mediante cesión a título gratuito, se constituirá patrimonio de familia inembargable.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La cesión de la que trata el presente artículo solo procederá siempre y cuando el beneficiario asuma y acredite el cumplimiento de las obligaciones fiscales pendientes de pago con la entidad territorial, generadas por el inmueble a titular por concepto de impuesto predial.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280</w:t>
      </w:r>
      <w:r w:rsidRPr="003A174E">
        <w:rPr>
          <w:rFonts w:ascii="Georgia" w:hAnsi="Georgia"/>
          <w:b/>
          <w:bCs/>
          <w:i/>
          <w:sz w:val="24"/>
          <w:szCs w:val="24"/>
          <w:lang w:val="es-CO"/>
        </w:rPr>
        <w:t xml:space="preserve">º. INSTRUMENTO PARA LA FINANCIACIÓN DE LA RENOVACIÓN URBANA. </w:t>
      </w:r>
      <w:r w:rsidRPr="003A174E">
        <w:rPr>
          <w:rFonts w:ascii="Georgia" w:hAnsi="Georgia"/>
          <w:i/>
          <w:sz w:val="24"/>
          <w:szCs w:val="24"/>
          <w:lang w:val="es-CO"/>
        </w:rPr>
        <w:t xml:space="preserve">Los municipios de categorías especial, 1 y 2, que gestionen sus propios catastros directamente o a través de esquemas asociativos territoriales y que cumplan con criterios de eficiencia en el recaudo del impuesto predial definidos por el Gobierno nacional, podrán financiar infraestructura urbana vinculada a los proyectos estratégicos de renovación urbana contemplados en sus planes de ordenamiento territorial y planes de desarrollo territorial, a través de la titularización de la totalidad o parte de los mayores valores de recaudo futuro del impuesto predial que se genere en las zonas de influencia de los respectivos proyectos estratégicos de renovación urbana durante el período necesario para cubrir el monto de la emisión.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estos efectos, el mayor valor del recaudo futuro del impuesto predial que se genere en las zonas de influencia de los respectivos proyectos estratégicos de renovación urbana se cederá como aporte de la entidad territorial a los patrimonios autónomos autorizados por el artículo 121 de la Ley 1450 de 2011, los cuales podrán realizar la respectiva titularización y ejecutar el proyecto de renovación urbana, sin sujeción a la limitación prevista en el artículo 76 de la Ley 617 de 2000. Tales recursos se considerarán como un menor valor del ingreso por concepto de impuesto predial, se descontarán de la capacidad de endeudamiento y por ende no se reflejarán en el presupuesto de gastos de la entidad territorial.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la autorización de la titularización del recaudo futuro del impuesto predial y del aporte al fideicomiso de las rentas a ceder para el desarrollo de los proyectos, por parte de los concejos municipales o distritales, las entidades territoriales deberán aplicar los procedimientos que defina el Gobierno nacional para el control de riesgos, definición de proyecto estratégico, validación de la necesidad del instrumento, y validación de la insuficiencia de los demás instrumentos de captura de valor autorizados para financiar parte de la infraestructura urbana vinculada a proyectos estratégicos de renovación urbana; así como los criterios de eficiencia en el recaudo del impuesto predial.</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lastRenderedPageBreak/>
        <w:t xml:space="preserve">PARÁGRAFO. </w:t>
      </w:r>
      <w:r w:rsidRPr="003A174E">
        <w:rPr>
          <w:rFonts w:ascii="Georgia" w:hAnsi="Georgia"/>
          <w:i/>
          <w:sz w:val="24"/>
          <w:szCs w:val="24"/>
          <w:lang w:val="es-CO"/>
        </w:rPr>
        <w:t>Los procesos de titularización de que trata el presente artículo quedarán excluidos de la autorización del Ministerio de Hacienda y Crédito Público a que hace referencia el inciso 2 del artículo 3 de la Ley 358 de 1997.</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281</w:t>
      </w:r>
      <w:r w:rsidRPr="003A174E">
        <w:rPr>
          <w:rFonts w:ascii="Georgia" w:hAnsi="Georgia"/>
          <w:b/>
          <w:i/>
          <w:sz w:val="24"/>
          <w:szCs w:val="24"/>
          <w:lang w:val="es-CO"/>
        </w:rPr>
        <w:t xml:space="preserve">º. DOTACIÓN DE SOLUCIONES ADECUADAS DE AGUA PARA CONSUMO HUMANO Y DOMÉSTICO, MANEJO DE AGUAS RESIDUALES Y RESIDUOS SÓLIDOS EN ÁREAS URBANAS DE DIFÍCIL GESTIÓN Y EN ZONAS RURALES. </w:t>
      </w:r>
      <w:r w:rsidRPr="003A174E">
        <w:rPr>
          <w:rFonts w:ascii="Georgia" w:hAnsi="Georgia"/>
          <w:i/>
          <w:sz w:val="24"/>
          <w:szCs w:val="24"/>
          <w:lang w:val="es-CO"/>
        </w:rPr>
        <w:t>Los municipios y distritos deben asegurar la atención de las necesidades básicas de agua para consumo humano y doméstico y de saneamiento básico de los  asentamientos humanos de áreas urbanas de difícil gestión, y en zonas rurales, implementando soluciones alternativas colectivas o individuales, o mediante la prestación del servicio público domiciliario de acueducto, alcantarillado o aseo, de acuerdo con los esquemas diferenciales definidos por el Gobierno nacional y la reglamentación vigente en la materia.</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Con el fin de orientar la dotación de infraestructura básica de servicios públicos domiciliarios o de soluciones alternativas, el Ministerio de Vivienda, Ciudad y Territorio establecerá lo que debe entenderse por asentamientos humanos rurales y viviendas rurales dispersas que hacen parte del componente rural del Plan de Ordenamiento Territorial. Las autoridades ambientales y sanitarias y la Superintendencia de Servicios Públicos Domiciliarios definirán criterios de vigilancia y control diferencial para quienes, de acuerdo con sus competencias provean el servicio de agua potable.</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 No obstante, este uso deberá ser inscrito en el Registro de Usuarios del Recurso Hídrico, bajo el entendido que la autorización en el presente inciso, sustituye la respectiva concesión. Las soluciones individuales de saneamiento básico para el tratamiento de las aguasa residuales domesticas provenientes de viviendas rurales dispersas que sean diseñados bajo los parámetros definidos en el reglamento técnico del sector de agua potable y saneamiento básico no requerirán permiso de vertimientos al suelo; no obstante deberán ser registro de vertimientos al suelo que para tales efectos reglamente el Gobierno nacional Esta excepción no aplica para hacer vertimientos directos de aguas residuales a cuerpos de aguas superficiales, subterráneas o marinas.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infraestructura de agua para consumo humano y doméstico o de saneamiento básico en zonas rurales, podrá ser entregada de manera directa para operación y mantenimiento, como aporte bajo condición, a las comunidades organizadas beneficiadas con la infraestructura, de acuerdo con la reglamentación que para tal efecto expida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 xml:space="preserve">El uso del agua para consumo humano y doméstico en vivienda rurales dispersas deberá hacerse con criterios de ahorro y uso eficiente del recurso hídrico, teniendo en cuenta los módulos de consumo establecidos por la autoridad ambiental competente.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Las excepciones que en el presente artículo se hace en favor de las viviendas rurales dispersas no aplica a otros usos diferentes al consumo humano y doméstico, ni a parcelaciones campestres o infraestructura de servicios públicos o privados ubicada en zonas rurales. Tampoco aplica a los acueductos que se establezcan para prestar el servicio de agua potable a viviendas rurales dispersas.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282</w:t>
      </w:r>
      <w:r w:rsidRPr="003A174E">
        <w:rPr>
          <w:rFonts w:ascii="Georgia" w:hAnsi="Georgia"/>
          <w:b/>
          <w:bCs/>
          <w:i/>
          <w:sz w:val="24"/>
          <w:szCs w:val="24"/>
          <w:lang w:val="es-CO"/>
        </w:rPr>
        <w:t xml:space="preserve">°. DESTINACIÓN DE LOS RECURSOS DE LA PARTICIPACIÓN DE AGUA POTABLE Y SANEAMIENTO BÁSICO EN LOS DISTRITOS Y MUNICIPIOS. </w:t>
      </w:r>
      <w:r w:rsidRPr="003A174E">
        <w:rPr>
          <w:rFonts w:ascii="Georgia" w:hAnsi="Georgia"/>
          <w:i/>
          <w:sz w:val="24"/>
          <w:szCs w:val="24"/>
          <w:lang w:val="es-CO"/>
        </w:rPr>
        <w:t>Modifíquese el literal h) del artículo 11 de la Ley 1176 de 2007,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h) Adquisición de los equipos requeridos </w:t>
      </w:r>
      <w:r w:rsidRPr="003A174E">
        <w:rPr>
          <w:rFonts w:ascii="Georgia" w:hAnsi="Georgia"/>
          <w:bCs/>
          <w:i/>
          <w:sz w:val="24"/>
          <w:szCs w:val="24"/>
          <w:lang w:val="es-CO"/>
        </w:rPr>
        <w:t>y pago de los servicios públicos</w:t>
      </w:r>
      <w:r w:rsidRPr="003A174E">
        <w:rPr>
          <w:rFonts w:ascii="Georgia" w:hAnsi="Georgia"/>
          <w:i/>
          <w:sz w:val="24"/>
          <w:szCs w:val="24"/>
          <w:lang w:val="es-CO"/>
        </w:rPr>
        <w:t xml:space="preserve"> para la operación de los sistemas de agua potable y saneamiento básico.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283</w:t>
      </w:r>
      <w:r w:rsidRPr="003A174E">
        <w:rPr>
          <w:rFonts w:ascii="Georgia" w:hAnsi="Georgia"/>
          <w:b/>
          <w:i/>
          <w:sz w:val="24"/>
          <w:szCs w:val="24"/>
          <w:lang w:val="es-CO"/>
        </w:rPr>
        <w:t>º</w:t>
      </w:r>
      <w:r w:rsidRPr="003A174E">
        <w:rPr>
          <w:rFonts w:ascii="Georgia" w:hAnsi="Georgia"/>
          <w:b/>
          <w:bCs/>
          <w:i/>
          <w:sz w:val="24"/>
          <w:szCs w:val="24"/>
          <w:lang w:val="es-CO"/>
        </w:rPr>
        <w:t xml:space="preserve">. </w:t>
      </w:r>
      <w:r w:rsidRPr="003A174E">
        <w:rPr>
          <w:rFonts w:ascii="Georgia" w:hAnsi="Georgia"/>
          <w:b/>
          <w:i/>
          <w:sz w:val="24"/>
          <w:szCs w:val="24"/>
          <w:lang w:val="es-CO"/>
        </w:rPr>
        <w:t>HOJA DE RUTA ÚNICA</w:t>
      </w:r>
      <w:r w:rsidRPr="003A174E">
        <w:rPr>
          <w:rFonts w:ascii="Georgia" w:hAnsi="Georgia"/>
          <w:i/>
          <w:sz w:val="24"/>
          <w:szCs w:val="24"/>
          <w:lang w:val="es-CO"/>
        </w:rPr>
        <w:t>. Créase la Hoja de Ruta para la implementación de la política de estabilización como una herramienta que articule los instrumentos derivados del Acuerdo Final, (Plan de Acción de Transformación Regional, Planes Nacionales Sectoriales, Planes Integrales de Sustitución y Desarrollo Alternativo, Planes Integrales de Reparación Colectiva, y el Plan Marco de Implementación cuando haya lugar) los planes de las Zonas Estratégicas de Intervención Integral donde coincidan territorial y temporalmente los planes y programas sectoriales y territoriales, así como con los mecanismos de financiación y de ejecución para garantizar la concurrencia de entidades, de recursos y consolidar la acción coordinada del Gobierno nacional, las autoridades locales, la participación del sector privado y la cooperación internacional, entre otros, en los 170 municipios que componen las 16 subregiones PDET definidas en el Decreto Ley 893 de 2017. La coordinación de la Hoja de Ruta estará a cargo de la Consejería para la Estabilización y la Consolidación, o quien haga sus veces, con el acompañamiento técnico del Departamento Nacional de Planeación y la Agencia para la Renovación del Territorio. Esta Hoja de Ruta deberá tener un acuerdo de inversión y cronograma de ejecución anualizado por cada subregión, en el cual se identifiquen los proyectos, responsables, compromisos, fuentes de financiación y recursos apropiados en las entidades competentes del orden nacional y en las entidades territoriales, de acuerdo con sus competencias y autonomía. Los proyectos definidos como de impacto regional podrán ser gestionados a través de los pactos territoriales, en concordancia con el artículo 25</w:t>
      </w:r>
      <w:r>
        <w:rPr>
          <w:rFonts w:ascii="Georgia" w:hAnsi="Georgia"/>
          <w:i/>
          <w:sz w:val="24"/>
          <w:szCs w:val="24"/>
          <w:lang w:val="es-CO"/>
        </w:rPr>
        <w:t>3</w:t>
      </w:r>
      <w:r w:rsidRPr="003A174E">
        <w:rPr>
          <w:rFonts w:ascii="Georgia" w:hAnsi="Georgia"/>
          <w:i/>
          <w:sz w:val="24"/>
          <w:szCs w:val="24"/>
          <w:lang w:val="es-CO"/>
        </w:rPr>
        <w:t xml:space="preserve"> de la presente Ley.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Consejería para la Estabilización y la Consolidación dará los lineamientos para la articulación de los acuerdos y proyectos de inversión incluidos en la Hoja de Ruta, así como para la planeación de largo plazo, de acuerdo con las metas del Plan Nacional de Desarrollo y los compromisos del Plan Marco de Implementación - PMI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La Consejería para la Estabilización y la Consolidación, o el funcionario que designe el Presidente de la República, formará parte del OCAD PAZ con voz y voto. Los proyectos que se financien con cargo a los recursos del OCAD PAZ, deben orientarse al desarrollo de las inversiones previstas en la Hoja de Ruta en los municipios PDET, promoviendo la eficiencia en la utilización de los recursos públicos y complementando la oferta interinstitucional del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Los planes para las Zonas Estratégicas de Intervención Integral - ZEII, creadas mediante la Ley 1941 de 2018, en las zonas en que coincidan con PDET, deberán coordinarse con la Consejería para la Estabilización y la Consolidación y construirse a partir de los resultados de los procesos participativos de los Planes de Acción para la Transformación Regional.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Los recursos destinados a la financiación de las Zonas Estratégicas de Intervención Integral - ZEII, en ningún caso podrán comprometer los recursos definidos por el Plan Marco de Implementación para los PDET.</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Los proyectos contemplados en la Hoja de Ruta se implementarán en articulación con las entidades nacionales y territoriales. Para el efecto las entidades territoriales gozarán de plena autonomía legal para alinear sus instrumentos de planeación a lo previsto en la Hoja de Ruta y los lineamientos generados por la Consejería para la Estabilización y la Consolidación.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CUARTO.</w:t>
      </w:r>
      <w:r w:rsidRPr="003A174E">
        <w:rPr>
          <w:rFonts w:ascii="Georgia" w:hAnsi="Georgia"/>
          <w:i/>
          <w:sz w:val="24"/>
          <w:szCs w:val="24"/>
          <w:lang w:val="es-CO"/>
        </w:rPr>
        <w:t xml:space="preserve"> Para el cumplimiento e implementación de la política de estabilización, en especial lo contemplado en el presente artículo, con la expedición de la presente Ley, la Agencia de Renovación del Territorio cambiará su adscripción del Sector Agricultura y Desarrollo Rural al sector Presidencia de la República. En desarrollo de lo anterior, el desarrollo y ejecución del Programa Nacional de Sustitución de Cultivos Ilícitos, será efectuará por parte de la Agencia de Renovación del Territorio. Con base en las facultades permanentes que se asisten al Gobierno nacional, dentro de los seis meses siguientes a la expedición de la presente Ley, se procederán a efectuar los arreglos institucionales a que haya lugar.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284</w:t>
      </w:r>
      <w:r w:rsidRPr="003A174E">
        <w:rPr>
          <w:rFonts w:ascii="Georgia" w:hAnsi="Georgia"/>
          <w:b/>
          <w:i/>
          <w:sz w:val="24"/>
          <w:szCs w:val="24"/>
          <w:lang w:val="es-CO"/>
        </w:rPr>
        <w:t xml:space="preserve">º. FORTALECIMIENTO DEL FONDO DE REPARACIÓN PARA LAS VÍCTIMAS DE LA VIOLENCIA. </w:t>
      </w:r>
      <w:r w:rsidRPr="003A174E">
        <w:rPr>
          <w:rFonts w:ascii="Georgia" w:hAnsi="Georgia"/>
          <w:i/>
          <w:sz w:val="24"/>
          <w:szCs w:val="24"/>
          <w:lang w:val="es-CO"/>
        </w:rPr>
        <w:t>Los recursos líquidos derivados de los bienes extintos que no hayan sido entregados por las FARC EP en los términos del artículo 2 del Decreto Ley 903 de 2017, tendrán como destinación el Fondo de Reparación para las Víctimas de la Violencia al que se refiere la Ley 1448 de 2011, a excepción de los predios rurales de los que trata el inciso segundo del artículo 91 de la Ley 1708 de 2014.</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Fiscalía General de la Nación determinará los bienes que se encuentran vinculados a procesos de extinción de dominio que no correspondan al inventario de que trata el Decreto Ley 903 de 2017.</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w:t>
      </w:r>
      <w:r w:rsidRPr="003A174E">
        <w:rPr>
          <w:rFonts w:ascii="Georgia" w:hAnsi="Georgia"/>
          <w:i/>
          <w:sz w:val="24"/>
          <w:szCs w:val="24"/>
        </w:rPr>
        <w:t xml:space="preserve"> Los recursos líquidos que ingresen al Fondo de Reparación para las Víctimas en cumplimiento de este artículo serán destinados a la reparación colectiva administrativa de las víctimas en el marco de lo establecido en la Ley 1448 de 2011.</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285</w:t>
      </w:r>
      <w:r w:rsidRPr="003A174E">
        <w:rPr>
          <w:rFonts w:ascii="Georgia" w:hAnsi="Georgia"/>
          <w:b/>
          <w:i/>
          <w:sz w:val="24"/>
          <w:szCs w:val="24"/>
          <w:lang w:val="es-CO"/>
        </w:rPr>
        <w:t>°. ADMINISTRACIÓN Y DESTINACIÓN DE BIENES.</w:t>
      </w:r>
      <w:r w:rsidRPr="003A174E">
        <w:rPr>
          <w:rFonts w:ascii="Georgia" w:hAnsi="Georgia"/>
          <w:i/>
          <w:sz w:val="24"/>
          <w:szCs w:val="24"/>
          <w:lang w:val="es-CO"/>
        </w:rPr>
        <w:t xml:space="preserve"> Adicionar un parágrafo al artículo 91 de la Ley 1708 de 2017, modificada por el artículo 22 de la Ley 1849 de 2017,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4.</w:t>
      </w:r>
      <w:r w:rsidRPr="003A174E">
        <w:rPr>
          <w:rFonts w:ascii="Georgia" w:hAnsi="Georgia"/>
          <w:i/>
          <w:sz w:val="24"/>
          <w:szCs w:val="24"/>
          <w:lang w:val="es-CO"/>
        </w:rPr>
        <w:t xml:space="preserve"> Los predios rurales donde se desarrollen o vayan a desarrollar proyectos productivos por parte de la población en proceso de reincorporación serán transferidos directamente por la Sociedad de Activos Especiales a los beneficiarios de estos proyectos que indique la Agencia Nacional de Reincorporación, en los plazos que defina el Gobierno Nacional. En estos casos se configurará una excepción frente a la obligación de transferir todos los bienes rurales a la Agencia Nacional de Tierras. Se excluyen de esta previsión los bienes a que se refiere </w:t>
      </w:r>
      <w:r>
        <w:rPr>
          <w:rFonts w:ascii="Georgia" w:hAnsi="Georgia"/>
          <w:i/>
          <w:sz w:val="24"/>
          <w:szCs w:val="24"/>
          <w:lang w:val="es-CO"/>
        </w:rPr>
        <w:t>el artículo 144 de la presente L</w:t>
      </w:r>
      <w:r w:rsidRPr="003A174E">
        <w:rPr>
          <w:rFonts w:ascii="Georgia" w:hAnsi="Georgia"/>
          <w:i/>
          <w:sz w:val="24"/>
          <w:szCs w:val="24"/>
          <w:lang w:val="es-CO"/>
        </w:rPr>
        <w:t>ey.</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286</w:t>
      </w:r>
      <w:r w:rsidRPr="003A174E">
        <w:rPr>
          <w:rFonts w:ascii="Georgia" w:hAnsi="Georgia"/>
          <w:b/>
          <w:i/>
          <w:sz w:val="24"/>
          <w:szCs w:val="24"/>
          <w:lang w:val="es-CO"/>
        </w:rPr>
        <w:t xml:space="preserve">°. RENTA BÁSICA. </w:t>
      </w:r>
      <w:r w:rsidRPr="003A174E">
        <w:rPr>
          <w:rFonts w:ascii="Georgia" w:hAnsi="Georgia"/>
          <w:i/>
          <w:sz w:val="24"/>
          <w:szCs w:val="24"/>
          <w:lang w:val="es-CO"/>
        </w:rPr>
        <w:t>Modifíquese el artículo 8 del Decreto Ley 899 de 2017,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8. RENTA BÁSICA. La renta básica es un beneficio económico que se otorgará a cada uno de los integrantes de las FARC-EP, una vez surtido el proceso de acreditación y tránsito a la legalidad y a partir de la terminación de las Zonas Veredales Transitorias de Normalización y durante veinticuatro (24) meses, siempre y cuando no tengan un vínculo contractual, laboral, legal y reglamentario, o un contrato de cualquier naturaleza que les genere ingresos. Este beneficio económico equivaldrá al 90% del Salario Mínimo Mensual Legal Vigente en el momento de su reconocimiento.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Una vez cumplidos los veinticuatro (24) meses anteriormente señalados, se otorgará una asignación mensual equivalente al 90% del Salario Mínimo Mensual Legal Vigente, sujeta al cumplimiento de la ruta de reincorporación, la cual se compone de: Formación Académica, Formación para el Trabajo y Desarrollo Humano, Acompañamiento Psicosocial, Generación de Ingresos, entre otros componentes que dispongan el Gobierno nacional. Este beneficio no será considerado fuente de generación de ingresos y su plazo estará determinado por las normas en materia de implementación del Acuerdo Final para la Terminación del Conflicto y el Establecimiento de una Paz Estable y Duradera contenidas en este Plan Nacional de Desarrollo. Las condiciones y términos para el reconocimiento de este beneficio serán establecidas por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xml:space="preserve">. Para aquellos integrantes de las FARC-EP privados de la libertad que sean beneficiados con indulto o amnistía, en el marco del Acuerdo Final para </w:t>
      </w:r>
      <w:r w:rsidRPr="003A174E">
        <w:rPr>
          <w:rFonts w:ascii="Georgia" w:hAnsi="Georgia"/>
          <w:i/>
          <w:sz w:val="24"/>
          <w:szCs w:val="24"/>
          <w:lang w:val="es-CO"/>
        </w:rPr>
        <w:lastRenderedPageBreak/>
        <w:t>la Terminación del Conflicto y la Construcción de una Paz Estable y Duradera, el desembolso de la renta básica se realizará a partir del mes siguiente de aquel en que recupere su libertad y una vez se realicen los trámites administrativos correspondientes.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287</w:t>
      </w:r>
      <w:r w:rsidRPr="003A174E">
        <w:rPr>
          <w:rFonts w:ascii="Georgia" w:hAnsi="Georgia"/>
          <w:b/>
          <w:i/>
          <w:sz w:val="24"/>
          <w:szCs w:val="24"/>
          <w:lang w:val="es-CO"/>
        </w:rPr>
        <w:t xml:space="preserve">°. AMPLIACIÓN DE LAS OBRAS POR IMPUESTOS </w:t>
      </w:r>
      <w:r w:rsidRPr="003A174E">
        <w:rPr>
          <w:rFonts w:ascii="Georgia" w:hAnsi="Georgia"/>
          <w:i/>
          <w:sz w:val="24"/>
          <w:szCs w:val="24"/>
          <w:lang w:val="es-CO"/>
        </w:rPr>
        <w:t xml:space="preserve">El mecanismo dispuesto en el artículo 71 de la Ley 1943 de 2018 se priorizará para beneficiar a los municipios definidos en el Decreto 893 de 2017 o la reglamentación que lo modifique o sustituya.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Agencia de Renovación del Territorio - ART efectuará una priorización de las iniciativas para conformar el banco de proyectos de que trata el inciso tercero del artículo 71 de la Ley 1943 de 2018, de conformidad con la identificación y priorización que se haya dado en el Plan de Acción para la Trasformación regional- PATR o la Hoja de Ruta correspondiente.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6</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EN LOS SERVICIOS PÚBLICOS</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288</w:t>
      </w:r>
      <w:r w:rsidRPr="003A174E">
        <w:rPr>
          <w:rFonts w:ascii="Georgia" w:hAnsi="Georgia"/>
          <w:b/>
          <w:i/>
          <w:sz w:val="24"/>
          <w:szCs w:val="24"/>
          <w:lang w:val="es-CO"/>
        </w:rPr>
        <w:t xml:space="preserve">º. INVERSIÓN DE RECURSOS PÚBLICOS EN INFRAESTRUCTURA CONCESIONADA EN ÁREAS DE SERVICIO EXCLUSIVO. </w:t>
      </w:r>
      <w:r w:rsidRPr="003A174E">
        <w:rPr>
          <w:rFonts w:ascii="Georgia" w:hAnsi="Georgia"/>
          <w:i/>
          <w:sz w:val="24"/>
          <w:szCs w:val="24"/>
          <w:lang w:val="es-CO"/>
        </w:rPr>
        <w:t>La Nación y las entidades territoriales podrán continuar celebrando y ejecutando  contratos para realizar obras complementarias que no correspondan a inversiones obligatorias del concesionario en Áreas de Servicio Exclusivo, con el objeto de garantizar la efectiva prestación del servicio público domiciliario de energía eléctrica, o su prestación en condiciones eficientes, sin que por ello se entienda afectado el respectivo contrato de concesión.</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La entidad interesada en realizar las obras deberá informar a la entidad concedente del Área de Servicio Exclusivo su propósito para que esta última informe lo pertinente al concesionario. La entidad estatal concedente y el concesionario podrán acordar los términos en que este último colaborará y apoyará la realización de las obras, sin que ello implique afectación alguna al contrato de concesión.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todo caso, las inversiones en obras complementarias de las que trata el presente artículo serán de propiedad de la Nación y/o de las entidades territoriales, según corresponda.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289</w:t>
      </w:r>
      <w:r w:rsidRPr="003A174E">
        <w:rPr>
          <w:rFonts w:ascii="Georgia" w:hAnsi="Georgia"/>
          <w:b/>
          <w:bCs/>
          <w:i/>
          <w:sz w:val="24"/>
          <w:szCs w:val="24"/>
          <w:lang w:val="es-CO"/>
        </w:rPr>
        <w:t xml:space="preserve">º. SERVICIO PÚBLICO DOMICILIARIO DE ENERGÍA ELÉCTRICA EN ZONAS NO INTERCONECTADAS – ZNI. </w:t>
      </w:r>
      <w:r w:rsidRPr="003A174E">
        <w:rPr>
          <w:rFonts w:ascii="Georgia" w:hAnsi="Georgia"/>
          <w:i/>
          <w:sz w:val="24"/>
          <w:szCs w:val="24"/>
          <w:lang w:val="es-CO"/>
        </w:rPr>
        <w:t xml:space="preserve">El Servicio Público Domiciliario de Energía Eléctrica en ZNI es el transporte de energía eléctrica desde la barra de entrega de energía de un Generador al Sistema de Distribución hasta el domicilio del usuario final, incluida su conexión y medición. El suministro de </w:t>
      </w:r>
      <w:r w:rsidRPr="003A174E">
        <w:rPr>
          <w:rFonts w:ascii="Georgia" w:hAnsi="Georgia"/>
          <w:i/>
          <w:sz w:val="24"/>
          <w:szCs w:val="24"/>
          <w:lang w:val="es-CO"/>
        </w:rPr>
        <w:lastRenderedPageBreak/>
        <w:t>energía eléctrica a un domicilio mediante soluciones individuales de generación también se considera, servicio público domiciliario de energía eléctrica en ZNI.</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recursos del Fondo de Apoyo Financiero para la Energización de las Zonas No Interconectadas - FAZNI, y del Fondo de Apoyo Financiero para la Energización de las Zonas Rurales Interconectadas – FAER se podrán utilizar para la reposición de los activos necesarios para la prestación de este servicio.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Fondo de Energías no Convencionales y Gestión Eficiente de la Energía -FENOGE podrá financiar proyectos de gestión eficiente de la energía y sistemas individuales de autogeneración con FNCE en ZNI y en el Sistema Interconectado Nacional, incluyendo el mantenimiento y reposición de equipos y la transferencia del dominio de los activos a los beneficiarios de los respectivos proyectos. Estas soluciones no serán objeto de asignación de subsidios de los que trata el artículo 99 de la Ley 142 de 1994.</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290</w:t>
      </w:r>
      <w:r w:rsidRPr="003A174E">
        <w:rPr>
          <w:rFonts w:ascii="Georgia" w:hAnsi="Georgia"/>
          <w:b/>
          <w:i/>
          <w:sz w:val="24"/>
          <w:szCs w:val="24"/>
          <w:lang w:val="es-CO"/>
        </w:rPr>
        <w:t>º. SOLUCIONES ENERGÉTICAS PARA PROYECTOS DEL FONDO DE APOYO FINANCIERO PARA LA ENERGIZACIÓN DE LAS ZONAS NO INTERCONECTADAS - FAZNI.</w:t>
      </w:r>
      <w:r w:rsidRPr="003A174E">
        <w:rPr>
          <w:rFonts w:ascii="Georgia" w:hAnsi="Georgia"/>
          <w:i/>
          <w:sz w:val="24"/>
          <w:szCs w:val="24"/>
          <w:lang w:val="es-CO"/>
        </w:rPr>
        <w:t xml:space="preserve"> Las entidades territoriales o entes prestadores del servicio que soliciten recursos del FAZNI y/o al Instituto de Planificación y Promoción de Soluciones Energéticas para las Zonas No Interconectadas - IPSE para la implementación de soluciones energéticas, deberán ejecutar directa o indirectamente su administración, operación y mantenimiento, garantizando su sostenibilidad, durante el tiempo que se indique en el respectivo contrato. Si transcurridos seis (6) meses a la terminación de la implementación de la solución energética, la entidad territorial o el prestador del servicio no recibe la infraestructura y no ha gestionado su administración, operación y mantenimiento, quien haga las veces de entidad contratante dará por terminado unilateralmente el respectivo contrato o carta compromisoria e iniciará la búsqueda de prestadores del servicio u operadores de red de la región que estén debidamente inscritos en el Sistema Único de Información -SUI, para que se encarguen de la administración, operación y mantenimiento de la solución energética, según el procedimiento que para el efecto defina el Ministerio de Minas y Energía.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entidad territorial o el prestador que solicite el proyecto y no reciba la solución energética para su administración, operación y mantenimiento, garantizando su sostenibilidad, no podrá volver a acceder a recursos de FAZNI y/o del IPSE, por los siguientes cuatro años al no recibo de la solución. En caso de que la entidad territorial o el prestador del servicio subsanen la situación descrita, la entidad administradora de los recursos del FAZNI o el IPSE si son recursos de dicha entidad podrá modificar o exceptuar el cumplimiento de la medida a la que hace referencia este artículo, de conformidad con los requerimientos que para tal fin establezca el Ministerio de Minas y Energía. Dichos requerimientos podrán incluir, entre otros, el pago de una compensación a favor de la entidad administradora del FAZNI o del IPSE, según corresponda, por parte de la entidad territorial o del prestador </w:t>
      </w:r>
      <w:r w:rsidRPr="003A174E">
        <w:rPr>
          <w:rFonts w:ascii="Georgia" w:hAnsi="Georgia"/>
          <w:i/>
          <w:sz w:val="24"/>
          <w:szCs w:val="24"/>
          <w:lang w:val="es-CO"/>
        </w:rPr>
        <w:lastRenderedPageBreak/>
        <w:t>incumplido, o periodos de moratoria diferentes a los acá dispuestos para el acceso a los recursos.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Aquellas entidades territoriales o entes prestadores del servicio que se comprometieron a recibir la infraestructura para la administración, operación y mantenimiento de las soluciones energéticas con recursos del FAZNI o con recursos del IPSE, con antelación a la presente ley y que aún no lo han hecho, tendrán seis (6) meses a partir de la entrada en vigencia de esta ley, para recibirlas e iniciar su administración, operación y mantenimiento. Transcurrido dicho plazo, si la entidad territorial o el ente prestador del servicio no inicia la administración, operación y mantenimiento del proyecto, se aplicarán las medidas dispuestas en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291</w:t>
      </w:r>
      <w:r w:rsidRPr="003A174E">
        <w:rPr>
          <w:rFonts w:ascii="Georgia" w:hAnsi="Georgia"/>
          <w:b/>
          <w:i/>
          <w:sz w:val="24"/>
          <w:szCs w:val="24"/>
          <w:lang w:val="es-CO"/>
        </w:rPr>
        <w:t xml:space="preserve">º. TRANSFERENCIAS DEL SECTOR ELÉCTRICO: </w:t>
      </w:r>
      <w:r w:rsidRPr="003A174E">
        <w:rPr>
          <w:rFonts w:ascii="Georgia" w:hAnsi="Georgia"/>
          <w:i/>
          <w:sz w:val="24"/>
          <w:szCs w:val="24"/>
          <w:lang w:val="es-CO"/>
        </w:rPr>
        <w:t>Modifíquese el artículo 54 de la Ley 143 de 1994,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54. Los autogeneradores, las empresas que vendan excedentes de energía eléctrica, así como las personas jurídicas privadas que entreguen o repartan, a cualquier título, entre sus socios y/o asociados, la energía eléctrica que ellas produzcan, están obligados a cancelar la transferencia en los términos que trata el artículo 45 de la Ley 99 de 1993, que será calculada sobre las ventas brutas por generación propia, de acuerdo con la tarifa que señale la Comisión de Regulación de Energía y Gas para el efecto. Para la liquidación de esta transferencia, las ventas brutas se calcularán como la generación propia multiplicada por la tarifa que señale la Comisión de Regulación de Energía y Gas para el efecto.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caso de la energía producida a partir de fuentes no convencionales a las que se refiere la Ley 1715 de 2014, cuyas plantas con potencia nominal instalada total supere los 10.000 kilovatios, deberán cancelar una transferencia equivalente al 4% de las ventas brutas de energía por generación propia de acuerdo con la tarifa que para ventas en bloque señale la Comisión de Regulación de Energía y Gas - CREG  Los recursos recaudados por este concepto se destinarán así: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60% se destinará en partes iguales a las comunidades étnicas ubicadas en el área de influencia del proyecto de generación para la ejecución de proyectos de inversión en infraestructura, servicios públicos, saneamiento básico y/o de agua potable, así como en proyectos que dichas comunidades definan, siempre que incidan directamente en su calidad de vida y bienestar.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caso de no existir comunidades étnicas acreditadas por el Ministerio del Interior en el respectivo territorio, el porcentaje aquí establecido se destinará a los municipios ubicados en el área del proyecto para inversión en infraestructura, servicios públicos, saneamiento básico y/o agua potable en las comunidades del área de influencia del proyecto.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40% para los municipios ubicados en el área del proyecto que se destinará a proyectos de inversión en infraestructura, servicios públicos, saneamiento básico y/o de agua potable previstos en el plan de desarrollo municipal.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1.</w:t>
      </w:r>
      <w:r w:rsidRPr="003A174E">
        <w:rPr>
          <w:rFonts w:ascii="Georgia" w:hAnsi="Georgia"/>
          <w:i/>
          <w:sz w:val="24"/>
          <w:szCs w:val="24"/>
          <w:lang w:val="es-CO"/>
        </w:rPr>
        <w:t xml:space="preserve"> Para efectos de la liquidación y pago de la transferencia, se entenderá que el área de influencia será la establecida en el Estudio de Impacto Ambiental y en la licencia ambiental que expida la autoridad ambiental competente.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2.</w:t>
      </w:r>
      <w:r w:rsidRPr="003A174E">
        <w:rPr>
          <w:rFonts w:ascii="Georgia" w:hAnsi="Georgia"/>
          <w:i/>
          <w:sz w:val="24"/>
          <w:szCs w:val="24"/>
          <w:lang w:val="es-CO"/>
        </w:rPr>
        <w:t xml:space="preserve"> En caso de comunidades étnicas, la transferencia se hará a las comunidades debidamente acreditadas por el Ministerio del Interior, que se encuentren ubicadas dentro del área de influencia del proyecto de generación, en los términos que defina el Gobierno nacional.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3</w:t>
      </w:r>
      <w:r w:rsidRPr="003A174E">
        <w:rPr>
          <w:rFonts w:ascii="Georgia" w:hAnsi="Georgia"/>
          <w:i/>
          <w:sz w:val="24"/>
          <w:szCs w:val="24"/>
          <w:lang w:val="es-CO"/>
        </w:rPr>
        <w:t>. Se exceptúa de las transferencias establecidas en este artículo, a la energía producida por la que ya se paguen las transferencias por generación térmica o hidroeléctrica, establecidas en el artículo 45 de la Ley 99 de 1993 o las normas que lo modifiquen o adicionen.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4. </w:t>
      </w:r>
      <w:r w:rsidRPr="003A174E">
        <w:rPr>
          <w:rFonts w:ascii="Georgia" w:hAnsi="Georgia"/>
          <w:i/>
          <w:sz w:val="24"/>
          <w:szCs w:val="24"/>
          <w:lang w:val="es-CO"/>
        </w:rPr>
        <w:t xml:space="preserve">La tarifa de la transferencia de que trata el presente artículo se incrementará a 2% cuando la capacidad instalada de generación eléctrica a partir de fuentes no convencionales de energía renovables, reportada por el Centro Nacional de Despacho, sea superior al 20% de la capacidad instalada de generación instalada total del país.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292</w:t>
      </w:r>
      <w:r w:rsidRPr="003A174E">
        <w:rPr>
          <w:rFonts w:ascii="Georgia" w:hAnsi="Georgia"/>
          <w:b/>
          <w:i/>
          <w:sz w:val="24"/>
          <w:szCs w:val="24"/>
          <w:lang w:val="es-CO"/>
        </w:rPr>
        <w:t xml:space="preserve">º. NUEVOS AGENTES. </w:t>
      </w:r>
      <w:r w:rsidRPr="003A174E">
        <w:rPr>
          <w:rFonts w:ascii="Georgia" w:hAnsi="Georgia"/>
          <w:i/>
          <w:sz w:val="24"/>
          <w:szCs w:val="24"/>
          <w:lang w:val="es-CO"/>
        </w:rPr>
        <w:t>La Comisión de Regulación de Energía y Gas - CREG, en el marco de la función de garantizar la prestación eficiente del servicio público, de promover la competencia, evitar los abusos de posición dominante y garantizar los derechos de los usuarios, dentro de la regulación sobre servicios de gas combustible, energía eléctrica, alumbrado público y el sector de combustibles líquidos, incluirá:</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4</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1. Definición de nuevas actividades o eslabones en la cadena de prestación del servicio, las cuales estarán sujetas a la regulación vigente.</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2. Definición de la regulación aplicable a los agentes que desarrollen tales nuevas actividades,, los cuales estarán sujetos a la regulación vigente.</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3. Determinación de la actividad o actividades en que cada agente de la cadena puede participar.</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4. Definición de las reglas sobre la gobernanza de datos e información que se produzca como resultado del ejercicio de las actividades de los agentes que interactúan en los servicios públicos.</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5. Optimización de los requerimientos de información y su validación a los agentes de los sectores regulados.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No obstante, lo dispuesto en el artículo 126 de la Ley 142 de 1994, la CREG podrá modificar las fórmulas tarifarias durante su vigencia cuando ello sea estrictamente necesario y  motivado en la inclusión de nuevos agentes, actividades o tecnologías, cumpliendo con los criterios establecidos en dicho artículo para la implementación de la regulación.</w:t>
      </w:r>
    </w:p>
    <w:p w:rsidR="00EC45FF" w:rsidRPr="003A174E" w:rsidRDefault="00EC45FF" w:rsidP="00EC45FF">
      <w:pPr>
        <w:spacing w:afterLines="20" w:after="48" w:line="240" w:lineRule="auto"/>
        <w:jc w:val="both"/>
        <w:rPr>
          <w:rFonts w:ascii="Georgia" w:hAnsi="Georgia"/>
          <w:i/>
          <w:color w:val="000000" w:themeColor="text1"/>
          <w:sz w:val="24"/>
          <w:szCs w:val="24"/>
          <w:lang w:val="es-CO"/>
        </w:rPr>
      </w:pPr>
    </w:p>
    <w:p w:rsidR="00EC45FF" w:rsidRPr="003A174E" w:rsidRDefault="00EC45FF" w:rsidP="00EC45FF">
      <w:pPr>
        <w:spacing w:afterLines="20" w:after="48" w:line="240" w:lineRule="auto"/>
        <w:jc w:val="both"/>
        <w:rPr>
          <w:rFonts w:ascii="Georgia" w:eastAsiaTheme="minorEastAsia" w:hAnsi="Georgia"/>
          <w:bCs/>
          <w:i/>
          <w:color w:val="000000" w:themeColor="text1"/>
          <w:kern w:val="24"/>
          <w:sz w:val="24"/>
          <w:szCs w:val="24"/>
          <w:lang w:val="es-CO" w:eastAsia="es-CO"/>
        </w:rPr>
      </w:pPr>
      <w:r w:rsidRPr="003A174E">
        <w:rPr>
          <w:rFonts w:ascii="Georgia" w:eastAsiaTheme="minorEastAsia" w:hAnsi="Georgia"/>
          <w:b/>
          <w:bCs/>
          <w:i/>
          <w:color w:val="000000" w:themeColor="text1"/>
          <w:kern w:val="24"/>
          <w:sz w:val="24"/>
          <w:szCs w:val="24"/>
          <w:lang w:val="es-CO" w:eastAsia="es-CO"/>
        </w:rPr>
        <w:t xml:space="preserve">PARÁGRAFO SEGUNDO. </w:t>
      </w:r>
      <w:r w:rsidRPr="003A174E">
        <w:rPr>
          <w:rFonts w:ascii="Georgia" w:eastAsiaTheme="minorEastAsia" w:hAnsi="Georgia"/>
          <w:bCs/>
          <w:i/>
          <w:color w:val="000000" w:themeColor="text1"/>
          <w:kern w:val="24"/>
          <w:sz w:val="24"/>
          <w:szCs w:val="24"/>
          <w:lang w:val="es-CO" w:eastAsia="es-CO"/>
        </w:rPr>
        <w:t xml:space="preserve">El objeto de las Empresas de Servicios Públicos Domiciliarios, junto con sus actividades complementarias, en lo que tiene que ver con la prestación de los servicios de que trata la Ley 142 de 1994, continuará siendo prevalente con respecto a las demás actividades desarrolladas por aquellas en los términos de lo dispuesto en los artículos 99 y siguientes del Código de Comercio.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293</w:t>
      </w:r>
      <w:r w:rsidRPr="003A174E">
        <w:rPr>
          <w:rFonts w:ascii="Georgia" w:hAnsi="Georgia"/>
          <w:b/>
          <w:i/>
          <w:sz w:val="24"/>
          <w:szCs w:val="24"/>
          <w:lang w:val="es-CO"/>
        </w:rPr>
        <w:t>°.</w:t>
      </w:r>
      <w:r w:rsidRPr="003A174E">
        <w:rPr>
          <w:rFonts w:ascii="Georgia" w:hAnsi="Georgia"/>
          <w:i/>
          <w:sz w:val="24"/>
          <w:szCs w:val="24"/>
          <w:lang w:val="es-CO"/>
        </w:rPr>
        <w:t xml:space="preserve"> </w:t>
      </w:r>
      <w:r w:rsidRPr="003A174E">
        <w:rPr>
          <w:rFonts w:ascii="Georgia" w:hAnsi="Georgia"/>
          <w:b/>
          <w:i/>
          <w:sz w:val="24"/>
          <w:szCs w:val="24"/>
          <w:lang w:val="es-CO"/>
        </w:rPr>
        <w:t>PROGRAMA DE ENERGIZACIÓN PARA LA REGIÓN PACÍFICA.</w:t>
      </w:r>
      <w:r w:rsidRPr="003A174E">
        <w:rPr>
          <w:rFonts w:ascii="Georgia" w:hAnsi="Georgia"/>
          <w:i/>
          <w:sz w:val="24"/>
          <w:szCs w:val="24"/>
          <w:lang w:val="es-CO"/>
        </w:rPr>
        <w:t xml:space="preserve"> Se dará continuidad y financiación al programa de energización para zonas rurales apartadas y dispersas de la región pacífica para el período 2018 - 2022, a través del fondo creado en el artículo 185 de la Ley 1753 de 2015.</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294</w:t>
      </w:r>
      <w:r w:rsidRPr="003A174E">
        <w:rPr>
          <w:rFonts w:ascii="Georgia" w:hAnsi="Georgia"/>
          <w:b/>
          <w:i/>
          <w:sz w:val="24"/>
          <w:szCs w:val="24"/>
          <w:lang w:val="es-CO"/>
        </w:rPr>
        <w:t>°. EDIFICIOS PERTENECIENTES A LAS ADMINISTRACIONES PÚBLICAS.</w:t>
      </w:r>
      <w:r w:rsidRPr="003A174E">
        <w:rPr>
          <w:rFonts w:ascii="Georgia" w:hAnsi="Georgia"/>
          <w:i/>
          <w:sz w:val="24"/>
          <w:szCs w:val="24"/>
          <w:lang w:val="es-CO"/>
        </w:rPr>
        <w:t xml:space="preserve"> Modifíquese el artículo 30 de la Ley 1715 de 2014,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30. EDIFICIOS PERTENECIENTES A LAS ADMINISTRACIONES PÚBLICAS. El Gobierno nacional, y el resto de administraciones públicas, en un término no superior a un año, a partir del 1 de junio de 2019, realizarán la auditoría energética de sus instalaciones y establecerán objetivos de ahorro de energía a ser alcanzadas a través de medidas de eficiencia energética y de cambios y/o adecuaciones en su infraestructura. Tales objetivos deberán implicar para el primer año un ahorro en el consumo de energía de mínimo 15% respecto del consumo del año anterior y a partir del segundo año con metas escalonadas definidas a partir de la auditoría y a ser alcanzadas a más tardar en el año 2022. Para tal efecto, cada entidad deberá destinar los recursos (presupuesto) necesarios para cumplir con tales medidas de gestión eficiente de la energía.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295</w:t>
      </w:r>
      <w:r w:rsidRPr="003A174E">
        <w:rPr>
          <w:rFonts w:ascii="Georgia" w:hAnsi="Georgia"/>
          <w:b/>
          <w:i/>
          <w:sz w:val="24"/>
          <w:szCs w:val="24"/>
          <w:lang w:val="es-CO"/>
        </w:rPr>
        <w:t>°. PROYECTOS DE EXPANSIÓN DE REDES DE GLP.</w:t>
      </w:r>
      <w:r w:rsidRPr="003A174E">
        <w:rPr>
          <w:rFonts w:ascii="Georgia" w:hAnsi="Georgia"/>
          <w:i/>
          <w:sz w:val="24"/>
          <w:szCs w:val="24"/>
          <w:lang w:val="es-CO"/>
        </w:rPr>
        <w:t xml:space="preserve"> El Ministerio de Minas y Energía fomentará la promoción y cofinanciación de proyectos de expansión de redes de GLP para conectar a los usuarios donde sea técnica y económicamente viable y priorizará los municipios con niveles altos e intermedios de Necesidades Básicas Insatisfechas, municipios rurales y zonas de difícil acceso.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w:t>
      </w:r>
      <w:r w:rsidRPr="003A174E">
        <w:rPr>
          <w:rFonts w:ascii="Georgia" w:hAnsi="Georgia"/>
          <w:i/>
          <w:sz w:val="24"/>
          <w:szCs w:val="24"/>
          <w:lang w:val="es-CO"/>
        </w:rPr>
        <w:t xml:space="preserve">El Ministerio de Minas y Energía definirá los términos y condiciones para la asignación de recursos públicos destinados a la ampliación de cobertura del servicio público domiciliario de gas combustible, entre las que se </w:t>
      </w:r>
      <w:r w:rsidRPr="003A174E">
        <w:rPr>
          <w:rFonts w:ascii="Georgia" w:hAnsi="Georgia"/>
          <w:i/>
          <w:sz w:val="24"/>
          <w:szCs w:val="24"/>
          <w:lang w:val="es-CO"/>
        </w:rPr>
        <w:lastRenderedPageBreak/>
        <w:t>incluirán las condiciones de eficiencia económica incluidas en el Plan indicativo de expansión de cobertura de gas combustible elaborado por la UPME.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296</w:t>
      </w:r>
      <w:r w:rsidRPr="003A174E">
        <w:rPr>
          <w:rFonts w:ascii="Georgia" w:hAnsi="Georgia"/>
          <w:b/>
          <w:i/>
          <w:sz w:val="24"/>
          <w:szCs w:val="24"/>
          <w:lang w:val="es-CO"/>
        </w:rPr>
        <w:t xml:space="preserve">°. </w:t>
      </w:r>
      <w:r w:rsidRPr="003A174E">
        <w:rPr>
          <w:rFonts w:ascii="Georgia" w:hAnsi="Georgia"/>
          <w:b/>
          <w:i/>
          <w:sz w:val="24"/>
          <w:szCs w:val="24"/>
        </w:rPr>
        <w:t xml:space="preserve">GESTIÓN DEL SERVICIO PÚBLICO DOMICILIARIO DE GAS COMBUSTIBLE EN ZONAS APARTADAS SIN SERVICIO. </w:t>
      </w:r>
      <w:r w:rsidRPr="003A174E">
        <w:rPr>
          <w:rFonts w:ascii="Georgia" w:hAnsi="Georgia"/>
          <w:i/>
          <w:sz w:val="24"/>
          <w:szCs w:val="24"/>
        </w:rPr>
        <w:t xml:space="preserve">De conformidad con las competencias establecidas en el artículo 8 de la Ley 142 de 1994 y el Decreto 381 de 2012, y las normas que lo sustituyan o lo complementen, el Ministerio de Minas y Energía dirigirá la forma en que se podrán gestionar los recursos que sociedades decidan aportar para extender el uso de gas natural distribuido por redes y/o gas licuado de petróleo distribuido por redes a cabeceras municipales que no cuenten con el servicio respectivo y/o a centros poblados diferentes a la cabecera municipal, como por ejemplo las veredas, los corregimientos, caseríos y/o inspecciones de policía, que no cuenten con el servicio respectivo. Para el efecto, la persona jurídica deberá depositar los recursos mencionados en una fiducia mercantil que la misma deberá contratar, a través de la cual se aportarán los recursos a empresas prestadoras de servicios públicos domiciliarios que ejecuten proyectos dirigidos a la prestación del servicio público de gas combustible. Los aportes de estos recursos se regirán por lo establecido en el </w:t>
      </w:r>
      <w:r w:rsidRPr="003A174E">
        <w:rPr>
          <w:rFonts w:ascii="Georgia" w:hAnsi="Georgia"/>
          <w:i/>
          <w:sz w:val="24"/>
          <w:szCs w:val="24"/>
          <w:lang w:val="es-CO"/>
        </w:rPr>
        <w:t>numeral 87.9 del artículo 87 de la Ley 142 de 1994.</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297</w:t>
      </w:r>
      <w:r w:rsidRPr="003A174E">
        <w:rPr>
          <w:rFonts w:ascii="Georgia" w:hAnsi="Georgia"/>
          <w:b/>
          <w:i/>
          <w:sz w:val="24"/>
          <w:szCs w:val="24"/>
          <w:lang w:val="es-CO"/>
        </w:rPr>
        <w:t>°. SUBSIDIOS PARA COMBUSTIBLES LÍQUIDOS, BIOCOMBUSTIBLES Y GLP.</w:t>
      </w:r>
      <w:r w:rsidRPr="003A174E">
        <w:rPr>
          <w:rFonts w:ascii="Georgia" w:hAnsi="Georgia"/>
          <w:i/>
          <w:sz w:val="24"/>
          <w:szCs w:val="24"/>
          <w:lang w:val="es-CO"/>
        </w:rPr>
        <w:t xml:space="preserve"> Los subsidios a nivel nacional para los combustibles líquidos, biocombustibles y GLP, se revisarán con el fin de establecer una metodología eficiente que garantice un precio competitivo y la mejor señal de consumo para los usuarios, sostenibilidad fiscal y la pertinencia de su ajuste gradual, sin que exista concurrencia de subsidios entre estos. Así mismo, se hará una revisión al Fondo de Estabilización de Precios de los Combustibles - FEPC a fin de establecer una metodología que posibilite una estructura con sostenibilidad fiscala largo plazo. El Ministerio de Minas y Energía revisara los subsidios de transporte de combustibles líquidos, gas combustible y crudo, así como lo de transporte en zonas especiales y diésel marino. El Ministerio de Hacienda y Crédito Público, el Ministerio de Transporte y el Ministerio de Minas y Energía revisarán el esquema de sobretasa que aplican los municipios para considerar los nuevos energéticos que se incorporaran a la matriz para movilidad.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subsidios a nivel nacional para los combustibles líquidos, biocombustibles y GLP para los departamentos ubicados para la zona de frontera continuaran rigiéndose por el artículo 220 de la Ley 1819 de 2016.</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298</w:t>
      </w:r>
      <w:r w:rsidRPr="003A174E">
        <w:rPr>
          <w:rFonts w:ascii="Georgia" w:hAnsi="Georgia"/>
          <w:b/>
          <w:i/>
          <w:sz w:val="24"/>
          <w:szCs w:val="24"/>
          <w:lang w:val="es-CO"/>
        </w:rPr>
        <w:t>°. MATRIZ ENERGÉTICA.</w:t>
      </w:r>
      <w:r w:rsidRPr="003A174E">
        <w:rPr>
          <w:rFonts w:ascii="Georgia" w:hAnsi="Georgia"/>
          <w:i/>
          <w:sz w:val="24"/>
          <w:szCs w:val="24"/>
          <w:lang w:val="es-CO"/>
        </w:rPr>
        <w:t xml:space="preserve"> En cumplimiento del objetivo de contar con una matriz energética complementaria, resiliente y comprometida con la reducción de emisiones de carbono, los agentes comercializadores del Mercado de Energía Mayorista estarán obligados a comprar energía eléctrica proveniente de fuentes no convencionales de energía renovable como parte de su portafolio de compras de energía.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El Ministerio de Minas y Energía, o la entidad a la que este delegue, reglamentará mediante resolución el alcance de la obligación establecida en el presente artículo, así como los mecanismos de seguimiento y control, sin perjuicio de la función sancionatoria de la Superintendencia de Servicios Públicos Domiciliarios – SSPD. La obligación de que trata el presente artículo terminará una vez se cumplan las metas establecidas por el Ministerio de Minas y Energía en la reglamentación que esta entidad para tal efecto.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b/>
          <w:i/>
          <w:sz w:val="24"/>
          <w:szCs w:val="24"/>
          <w:lang w:val="es-ES"/>
        </w:rPr>
      </w:pPr>
      <w:r w:rsidRPr="003A174E">
        <w:rPr>
          <w:rFonts w:ascii="Georgia" w:hAnsi="Georgia"/>
          <w:b/>
          <w:i/>
          <w:sz w:val="24"/>
          <w:szCs w:val="24"/>
          <w:lang w:val="es-ES"/>
        </w:rPr>
        <w:t xml:space="preserve">ARTÍCULO </w:t>
      </w:r>
      <w:r>
        <w:rPr>
          <w:rFonts w:ascii="Georgia" w:hAnsi="Georgia"/>
          <w:b/>
          <w:i/>
          <w:sz w:val="24"/>
          <w:szCs w:val="24"/>
          <w:lang w:val="es-ES"/>
        </w:rPr>
        <w:t>299</w:t>
      </w:r>
      <w:r w:rsidRPr="003A174E">
        <w:rPr>
          <w:rFonts w:ascii="Georgia" w:hAnsi="Georgia"/>
          <w:b/>
          <w:i/>
          <w:sz w:val="24"/>
          <w:szCs w:val="24"/>
          <w:lang w:val="es-ES"/>
        </w:rPr>
        <w:t xml:space="preserve">º (NUEVO). </w:t>
      </w:r>
      <w:r w:rsidRPr="003A174E">
        <w:rPr>
          <w:rFonts w:ascii="Georgia" w:hAnsi="Georgia"/>
          <w:b/>
          <w:i/>
          <w:caps/>
          <w:sz w:val="24"/>
          <w:szCs w:val="24"/>
          <w:lang w:val="es-ES"/>
        </w:rPr>
        <w:t xml:space="preserve">Subsidios de energía eléctrica y gas. </w:t>
      </w:r>
      <w:r w:rsidRPr="003A174E">
        <w:rPr>
          <w:rFonts w:ascii="Georgia" w:hAnsi="Georgia"/>
          <w:i/>
          <w:sz w:val="24"/>
          <w:szCs w:val="24"/>
          <w:lang w:val="es-ES"/>
        </w:rPr>
        <w:t xml:space="preserve">Los subsidios establecidos en el artículo 3 de la Ley 1117 de 2006, prorrogados a su vez por el artículo 1 de la Ley 1428 de 2010, además por el artículo 76 de la Ley 1739 de 2014 y por el artículo 17 de la Ley 1753 de 2015 se prorrogan, como máximo, hasta el 31 de diciembre de 2022. </w:t>
      </w:r>
    </w:p>
    <w:p w:rsidR="00EC45FF" w:rsidRPr="003A174E" w:rsidRDefault="00EC45FF" w:rsidP="00EC45FF">
      <w:pPr>
        <w:spacing w:after="0" w:line="240" w:lineRule="auto"/>
        <w:jc w:val="both"/>
        <w:rPr>
          <w:rFonts w:ascii="Georgia" w:hAnsi="Georgia"/>
          <w:i/>
          <w:sz w:val="24"/>
          <w:szCs w:val="24"/>
          <w:lang w:val="es-ES"/>
        </w:rPr>
      </w:pPr>
    </w:p>
    <w:p w:rsidR="00EC45FF" w:rsidRPr="003A174E" w:rsidRDefault="00EC45FF" w:rsidP="00EC45FF">
      <w:pPr>
        <w:spacing w:after="0" w:line="240" w:lineRule="auto"/>
        <w:jc w:val="both"/>
        <w:rPr>
          <w:rFonts w:ascii="Georgia" w:hAnsi="Georgia"/>
          <w:i/>
          <w:sz w:val="24"/>
          <w:szCs w:val="24"/>
          <w:lang w:val="es-ES"/>
        </w:rPr>
      </w:pPr>
      <w:r w:rsidRPr="003A174E">
        <w:rPr>
          <w:rFonts w:ascii="Georgia" w:hAnsi="Georgia"/>
          <w:b/>
          <w:i/>
          <w:sz w:val="24"/>
          <w:szCs w:val="24"/>
          <w:lang w:val="es-ES"/>
        </w:rPr>
        <w:t>PARÁGRAFO.</w:t>
      </w:r>
      <w:r w:rsidRPr="003A174E">
        <w:rPr>
          <w:rFonts w:ascii="Georgia" w:hAnsi="Georgia"/>
          <w:i/>
          <w:sz w:val="24"/>
          <w:szCs w:val="24"/>
          <w:lang w:val="es-ES"/>
        </w:rPr>
        <w:t xml:space="preserve"> Buscando la eficiencia de los recursos presupuestales destinados para financiar subsidios de energía eléctrica y gas a usuarios de menores ingresos, se implementarán medidas que permitan el cruce entre la estratificación y la información socioeconómica de los usuarios como parámetro de focalización del subsidio. </w:t>
      </w:r>
    </w:p>
    <w:p w:rsidR="00EC45FF" w:rsidRPr="003A174E" w:rsidRDefault="00EC45FF" w:rsidP="00EC45FF">
      <w:pPr>
        <w:spacing w:after="0" w:line="240" w:lineRule="auto"/>
        <w:jc w:val="both"/>
        <w:rPr>
          <w:rFonts w:ascii="Georgia" w:hAnsi="Georgia"/>
          <w:i/>
          <w:sz w:val="24"/>
          <w:szCs w:val="24"/>
          <w:lang w:val="es-ES"/>
        </w:rPr>
      </w:pPr>
    </w:p>
    <w:p w:rsidR="00EC45FF" w:rsidRPr="003A174E" w:rsidRDefault="00EC45FF" w:rsidP="00EC45FF">
      <w:pPr>
        <w:spacing w:after="0"/>
        <w:jc w:val="both"/>
        <w:rPr>
          <w:rFonts w:ascii="Georgia" w:hAnsi="Georgia"/>
          <w:b/>
          <w:i/>
          <w:sz w:val="24"/>
          <w:szCs w:val="24"/>
          <w:lang w:val="es-ES"/>
        </w:rPr>
      </w:pPr>
      <w:r w:rsidRPr="003A174E">
        <w:rPr>
          <w:rFonts w:ascii="Georgia" w:hAnsi="Georgia"/>
          <w:b/>
          <w:i/>
          <w:sz w:val="24"/>
          <w:szCs w:val="24"/>
        </w:rPr>
        <w:t xml:space="preserve">ARTÍCULO </w:t>
      </w:r>
      <w:r>
        <w:rPr>
          <w:rFonts w:ascii="Georgia" w:hAnsi="Georgia"/>
          <w:b/>
          <w:i/>
          <w:sz w:val="24"/>
          <w:szCs w:val="24"/>
          <w:lang w:val="es-ES"/>
        </w:rPr>
        <w:t>300</w:t>
      </w:r>
      <w:r w:rsidRPr="003A174E">
        <w:rPr>
          <w:rFonts w:ascii="Georgia" w:hAnsi="Georgia"/>
          <w:b/>
          <w:i/>
          <w:sz w:val="24"/>
          <w:szCs w:val="24"/>
          <w:lang w:val="es-ES"/>
        </w:rPr>
        <w:t>º</w:t>
      </w:r>
      <w:r w:rsidRPr="003A174E">
        <w:rPr>
          <w:rFonts w:ascii="Georgia" w:hAnsi="Georgia"/>
          <w:b/>
          <w:i/>
          <w:sz w:val="24"/>
          <w:szCs w:val="24"/>
        </w:rPr>
        <w:t xml:space="preserve"> (NUEVO). EQUIDAD REGIONAL EN LA PRESTACIÓN DE LOS SERVICIOS DE ACUEDUCTO Y ALCANTARILLADO. </w:t>
      </w:r>
      <w:r w:rsidRPr="003A174E">
        <w:rPr>
          <w:rFonts w:ascii="Georgia" w:hAnsi="Georgia"/>
          <w:i/>
          <w:sz w:val="24"/>
          <w:szCs w:val="24"/>
        </w:rPr>
        <w:t>El Ministerio de Vivienda, Ciudad y Territorio solicitará a la Comisión de Regulación de Agua Potable y Saneamiento Básico el inicio de una actuación administrativa en el marco de lo establecido en el numeral 14 del artículo 73 de la Ley 142 de 1994, cuando cuente con estudios que indiquen que es necesario para garantizar condiciones de equidad regional en la prestación de los servicios públicos de acueducto y/o alcantarillado de dos o más municipios, orientada a incrementar la cobertura, disminuir los costos en la prestación o mejorar la calidad.</w:t>
      </w:r>
      <w:r w:rsidRPr="003A174E">
        <w:rPr>
          <w:rFonts w:ascii="Georgia" w:hAnsi="Georgia"/>
          <w:i/>
          <w:sz w:val="24"/>
          <w:szCs w:val="24"/>
          <w:lang w:val="es-ES"/>
        </w:rPr>
        <w:t xml:space="preserve">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El Gobierno nacional reglamentará la oportunidad, alcance y contenido de los estudios que deben soportar dicha solicitud, y definirá los criterios de participación accionaria en la creación de nuevas empresas.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r>
        <w:rPr>
          <w:rFonts w:ascii="Georgia" w:eastAsiaTheme="minorEastAsia" w:hAnsi="Georgia"/>
          <w:b/>
          <w:bCs/>
          <w:i/>
          <w:kern w:val="24"/>
          <w:sz w:val="24"/>
          <w:szCs w:val="24"/>
          <w:lang w:val="es-CO" w:eastAsia="es-CO"/>
        </w:rPr>
        <w:t>ARTÍCULO 301</w:t>
      </w:r>
      <w:r w:rsidRPr="003A174E">
        <w:rPr>
          <w:rFonts w:ascii="Georgia" w:eastAsiaTheme="minorEastAsia" w:hAnsi="Georgia"/>
          <w:b/>
          <w:bCs/>
          <w:i/>
          <w:kern w:val="24"/>
          <w:sz w:val="24"/>
          <w:szCs w:val="24"/>
          <w:lang w:val="es-CO" w:eastAsia="es-CO"/>
        </w:rPr>
        <w:t xml:space="preserve">º. ZONAS DIFERENCIALES PARA EL TRANSPORTE. </w:t>
      </w:r>
      <w:r w:rsidRPr="003A174E">
        <w:rPr>
          <w:rFonts w:ascii="Georgia" w:eastAsiaTheme="minorEastAsia" w:hAnsi="Georgia"/>
          <w:bCs/>
          <w:i/>
          <w:kern w:val="24"/>
          <w:sz w:val="24"/>
          <w:szCs w:val="24"/>
          <w:lang w:val="es-CO" w:eastAsia="es-CO"/>
        </w:rPr>
        <w:t>Modifíquese el artículo 182 de la Ley 1753 de 2015, el cual quedará así:</w:t>
      </w: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r w:rsidRPr="003A174E">
        <w:rPr>
          <w:rFonts w:ascii="Georgia" w:eastAsiaTheme="minorEastAsia" w:hAnsi="Georgia"/>
          <w:bCs/>
          <w:i/>
          <w:kern w:val="24"/>
          <w:sz w:val="24"/>
          <w:szCs w:val="24"/>
          <w:lang w:val="es-CO" w:eastAsia="es-CO"/>
        </w:rPr>
        <w:t xml:space="preserve">ARTÍCULO 182. ZONAS DIFERENCIALES PARA EL TRANSPORTE. Para garantizar las condiciones de accesibilidad y seguridad, promover la formalización del servicio de transporte público y garantizar a los pobladores los servicios de tránsito, el Ministerio de Transporte podrá crear zonas diferenciales para el transporte y el tránsito. Dichas zonas estarán constituidas por un municipio y/o grupos de municipios , donde no existan sistemas de transporte cofinanciados por la Nación, y cuya vocación rural o características geográficas, económicas, sociales, étnicas u otras propias del territorio impidan la normal </w:t>
      </w:r>
      <w:r w:rsidRPr="003A174E">
        <w:rPr>
          <w:rFonts w:ascii="Georgia" w:eastAsiaTheme="minorEastAsia" w:hAnsi="Georgia"/>
          <w:bCs/>
          <w:i/>
          <w:kern w:val="24"/>
          <w:sz w:val="24"/>
          <w:szCs w:val="24"/>
          <w:lang w:val="es-CO" w:eastAsia="es-CO"/>
        </w:rPr>
        <w:lastRenderedPageBreak/>
        <w:t>prestación de los servicios de transporte o tránsito en las condiciones de la normativa vigente y aplicable. La extensión geográfica de la zona diferencial será determinada por el Ministerio de Transporte.</w:t>
      </w: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r w:rsidRPr="003A174E">
        <w:rPr>
          <w:rFonts w:ascii="Georgia" w:eastAsiaTheme="minorEastAsia" w:hAnsi="Georgia"/>
          <w:bCs/>
          <w:i/>
          <w:kern w:val="24"/>
          <w:sz w:val="24"/>
          <w:szCs w:val="24"/>
          <w:lang w:val="es-CO" w:eastAsia="es-CO"/>
        </w:rPr>
        <w:t>El Ministerio de Transporte y los gobiernos locales, en forma coordinada, podrán expedir reglamentos de carácter especial y transitorio en materia de servicio de transporte público o servicios de tránsito con aplicación exclusiva en estas zonas.</w:t>
      </w: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r w:rsidRPr="003A174E">
        <w:rPr>
          <w:rFonts w:ascii="Georgia" w:eastAsiaTheme="minorEastAsia" w:hAnsi="Georgia"/>
          <w:bCs/>
          <w:i/>
          <w:kern w:val="24"/>
          <w:sz w:val="24"/>
          <w:szCs w:val="24"/>
          <w:lang w:val="es-CO" w:eastAsia="es-CO"/>
        </w:rPr>
        <w:t>Los actos administrativos expedidos conforme a lo determinado como Zonas Estratégicas para el Transporte - ZET, con anterioridad a la presente Ley, se entenderán sujetos a lo establecido en este artículo para las Zonas Diferenciales de Transporte y mantendrán su vigencia.</w:t>
      </w:r>
    </w:p>
    <w:p w:rsidR="00EC45FF" w:rsidRPr="003A174E" w:rsidRDefault="00EC45FF" w:rsidP="00EC45FF">
      <w:pPr>
        <w:spacing w:afterLines="20" w:after="48" w:line="240" w:lineRule="auto"/>
        <w:jc w:val="both"/>
        <w:rPr>
          <w:rFonts w:ascii="Georgia" w:eastAsiaTheme="minorEastAsia" w:hAnsi="Georgia"/>
          <w:b/>
          <w:bCs/>
          <w:i/>
          <w:kern w:val="24"/>
          <w:sz w:val="24"/>
          <w:szCs w:val="24"/>
          <w:lang w:val="es-CO" w:eastAsia="es-CO"/>
        </w:rPr>
      </w:pPr>
    </w:p>
    <w:p w:rsidR="00EC45FF" w:rsidRPr="003A174E" w:rsidRDefault="00EC45FF" w:rsidP="00EC45FF">
      <w:pPr>
        <w:spacing w:afterLines="20" w:after="48" w:line="240" w:lineRule="auto"/>
        <w:jc w:val="both"/>
        <w:rPr>
          <w:rFonts w:ascii="Georgia" w:eastAsiaTheme="minorEastAsia" w:hAnsi="Georgia"/>
          <w:bCs/>
          <w:i/>
          <w:kern w:val="24"/>
          <w:sz w:val="24"/>
          <w:szCs w:val="24"/>
          <w:lang w:val="es-CO" w:eastAsia="es-CO"/>
        </w:rPr>
      </w:pPr>
      <w:r w:rsidRPr="003A174E">
        <w:rPr>
          <w:rFonts w:ascii="Georgia" w:eastAsiaTheme="minorEastAsia" w:hAnsi="Georgia"/>
          <w:b/>
          <w:bCs/>
          <w:i/>
          <w:kern w:val="24"/>
          <w:sz w:val="24"/>
          <w:szCs w:val="24"/>
          <w:lang w:val="es-CO" w:eastAsia="es-CO"/>
        </w:rPr>
        <w:t xml:space="preserve">PARÁGRAFO. </w:t>
      </w:r>
      <w:r w:rsidRPr="003A174E">
        <w:rPr>
          <w:rFonts w:ascii="Georgia" w:eastAsiaTheme="minorEastAsia" w:hAnsi="Georgia"/>
          <w:bCs/>
          <w:i/>
          <w:kern w:val="24"/>
          <w:sz w:val="24"/>
          <w:szCs w:val="24"/>
          <w:lang w:val="es-CO" w:eastAsia="es-CO"/>
        </w:rPr>
        <w:t>En lo relacionado con el transporte escolar, el Ministerio de Educación Nacional acompañará al Ministerio de Transporte en el proceso de caracterización de las zonas diferenciales para el transporte dando prioridad a zonas rurales o de frontera, con el fin que las autoridades territoriales en el marco de sus competencias, puedan garantizar el acceso efectivo de la población al sistema de educación.</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302</w:t>
      </w:r>
      <w:r w:rsidRPr="003A174E">
        <w:rPr>
          <w:rFonts w:ascii="Georgia" w:hAnsi="Georgia"/>
          <w:b/>
          <w:i/>
          <w:sz w:val="24"/>
          <w:szCs w:val="24"/>
          <w:lang w:val="es-CO"/>
        </w:rPr>
        <w:t xml:space="preserve">º. INSERCIÓN DE LOS SISTEMAS FERROVIARIOS. </w:t>
      </w:r>
      <w:r w:rsidRPr="003A174E">
        <w:rPr>
          <w:rFonts w:ascii="Georgia" w:hAnsi="Georgia"/>
          <w:i/>
          <w:sz w:val="24"/>
          <w:szCs w:val="24"/>
          <w:lang w:val="es-CO"/>
        </w:rPr>
        <w:t>La zona de protección, la zona de seguridad, así como las franjas de retiro obligatorio o área de reserva o de exclusión de los sistemas ferroviarios serán definidas por la entidad encargada de la administración o gestión de dicha infraestructura o por la ejecutora del proyecto, dependiendo del tipo de sistema ferroviario a ser desarrollado, previa justificación técnica. Dichas zonas deberán ser aprobadas por el Ministerio de Transporte o la Comisión de Regulación de Infraestructura y Transporte -CRIT.</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En todos los casos, la zona de protección y las franjas de retiro obligatorio o las áreas de reserva o de exclusión no podrán ser inferiores al Galibo Libre de Obstáculos - GLO.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Ministerio de Transporte definirá los parámetros técnicos y de seguridad, bajo los cuales operen, diseñen y construyan los cruces de carreteras u otras vías de comunicación, con líneas férreas existentes o que se proyecte construir. Para la fijación de estos parámetros se tendrán en cuenta, entre otras, las condiciones de tráfico, seguridad y tecnología.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PRIMERO. </w:t>
      </w:r>
      <w:r w:rsidRPr="003A174E">
        <w:rPr>
          <w:rFonts w:ascii="Georgia" w:hAnsi="Georgia"/>
          <w:i/>
          <w:sz w:val="24"/>
          <w:szCs w:val="24"/>
          <w:lang w:val="es-CO"/>
        </w:rPr>
        <w:t>El Ministerio de Transporte asumirá las funciones que se asignan en el presente artículo, hasta tanto la CRIT entre en funcionamiento.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SEGUNDO. </w:t>
      </w:r>
      <w:r w:rsidRPr="003A174E">
        <w:rPr>
          <w:rFonts w:ascii="Georgia" w:hAnsi="Georgia"/>
          <w:i/>
          <w:sz w:val="24"/>
          <w:szCs w:val="24"/>
          <w:lang w:val="es-CO"/>
        </w:rPr>
        <w:t xml:space="preserve">El Instituto Nacional de Vías podrá permitir a las entidades territoriales la intervención de la totalidad o parte de las fajas de los </w:t>
      </w:r>
      <w:r w:rsidRPr="003A174E">
        <w:rPr>
          <w:rFonts w:ascii="Georgia" w:hAnsi="Georgia"/>
          <w:i/>
          <w:sz w:val="24"/>
          <w:szCs w:val="24"/>
          <w:lang w:val="es-CO"/>
        </w:rPr>
        <w:lastRenderedPageBreak/>
        <w:t xml:space="preserve">corredores férreos, o los derechos de vía de los mismos de su propiedad, o su eventual transferencia de dominio para la construcción de infraestructura de sistemas urbanos de transporte público masivo de pasajeros de otros modos de transporte. Lo anterior, cuando se cumplan las siguientes condiciones: (i) que el proyecto a ser ejecutado sobre un corredor férreo haya sido declarado de importancia estratégica nacional; (ii) que el proyecto sea cofinanciado por la Nación; (iii) que sobre el corredor actualmente no sea posible el transito férreo; y, (iv) que no haga parte de los planes de reactivación de la red férrea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el efecto se deberá suscribir un convenio interadministrativo en el que se definan los términos y condiciones de la respectiva intervención, incluyendo la obligación de la entidad territorial de compensar con la administración, operación y/o mantenimiento de otro corredor férreo nacional, que haga parte de un proyecto declarado de importancia estratégica nacional. La compensación se dará por: (i) el permiso de intervención y la modificación del respectivo modo de transporte y/o (ii) la eventual transferencia de dominio de las áreas a que haya lugar a la respectiva entidad territorial, realizada mediante acto administrativo inscrito en la oficina de registro de instrumentos públicos.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ARTÍCULO</w:t>
      </w:r>
      <w:r>
        <w:rPr>
          <w:rFonts w:ascii="Georgia" w:hAnsi="Georgia"/>
          <w:b/>
          <w:bCs/>
          <w:i/>
          <w:sz w:val="24"/>
          <w:szCs w:val="24"/>
          <w:lang w:val="es-CO"/>
        </w:rPr>
        <w:t xml:space="preserve"> 303</w:t>
      </w:r>
      <w:r w:rsidRPr="003A174E">
        <w:rPr>
          <w:rFonts w:ascii="Georgia" w:hAnsi="Georgia"/>
          <w:b/>
          <w:bCs/>
          <w:i/>
          <w:sz w:val="24"/>
          <w:szCs w:val="24"/>
          <w:lang w:val="es-CO"/>
        </w:rPr>
        <w:t xml:space="preserve">º. SUBVENCIONES RUTAS SOCIALES SATENA. </w:t>
      </w:r>
      <w:r w:rsidRPr="003A174E">
        <w:rPr>
          <w:rFonts w:ascii="Georgia" w:hAnsi="Georgia"/>
          <w:i/>
          <w:sz w:val="24"/>
          <w:szCs w:val="24"/>
          <w:lang w:val="es-CO"/>
        </w:rPr>
        <w:t>Modifíquese el artículo 240 de la Ley 1753 de 2015,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240. SUBVENCIONES RUTAS SOCIALES SATENA.</w:t>
      </w:r>
      <w:r w:rsidRPr="003A174E">
        <w:rPr>
          <w:rFonts w:ascii="Georgia" w:hAnsi="Georgia"/>
          <w:b/>
          <w:bCs/>
          <w:i/>
          <w:sz w:val="24"/>
          <w:szCs w:val="24"/>
          <w:lang w:val="es-CO"/>
        </w:rPr>
        <w:t xml:space="preserve"> </w:t>
      </w:r>
      <w:r w:rsidRPr="003A174E">
        <w:rPr>
          <w:rFonts w:ascii="Georgia" w:hAnsi="Georgia"/>
          <w:i/>
          <w:sz w:val="24"/>
          <w:szCs w:val="24"/>
          <w:lang w:val="es-CO"/>
        </w:rPr>
        <w:t xml:space="preserve">Con el fin promover la prestación del servicio de transporte aéreo en las regiones de difícil acceso y conectividad, el Gobierno nacional podrá otorgar subvenciones a Satena S.A., a través del presupuesto del Ministerio de Defensa Nacional, para la prestación del servicio público esencial de transporte aéreo, en aquellas rutas sociales en las cuales Satena S.A. sea el único operador.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Unidad Administrativa Especial de Aeronáutica Civil determinará las rutas y el Gobierno nacional las condiciones de estas subvenciones, que en ningún caso podrán ser superiores al déficit que registre la empresa como resultado de atender las denominadas rutas sociales en las cuales opere de manera exclusiva.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Esta subvención tendrá una vigencia del 1 de enero al 31 de diciembre de cada anualidad y estará sujeta a la disponibilidad presupuestal del Ministerio de Defensa Nacional.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304</w:t>
      </w:r>
      <w:r w:rsidRPr="003A174E">
        <w:rPr>
          <w:rFonts w:ascii="Georgia" w:hAnsi="Georgia"/>
          <w:b/>
          <w:i/>
          <w:sz w:val="24"/>
          <w:szCs w:val="24"/>
          <w:lang w:val="es-CO"/>
        </w:rPr>
        <w:t>°. OTRAS FUENTES DE FINANCIACIÓN PARA LA SOSTENIBILIDAD DE INFRAESTRUCTURA DE TRANSPORTE.</w:t>
      </w:r>
      <w:r w:rsidRPr="003A174E">
        <w:rPr>
          <w:rFonts w:ascii="Georgia" w:hAnsi="Georgia"/>
          <w:i/>
          <w:sz w:val="24"/>
          <w:szCs w:val="24"/>
          <w:lang w:val="es-CO"/>
        </w:rPr>
        <w:t xml:space="preserve"> Para el financiamiento de la infraestructura, las entidades del sector transporte podrán implementar estrategias de financiación, tales como enajenación directa de activos, cobro por derechos por uso de la infraestructura de los distintos modos de transporte de su competencia. Los recursos obtenidos se destinarán al sector transporte, previa incorporación presupuestal.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Con el mismo fin, el sector transporte podrá obtener ingresos a través de publicidad en la infraestructura o anexidades existentes, en los distintos modos de transporte propiedad de la Nación administrada por obra pública o concesión.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jc w:val="both"/>
        <w:rPr>
          <w:rFonts w:ascii="Georgia" w:hAnsi="Georgia"/>
          <w:i/>
          <w:sz w:val="24"/>
          <w:szCs w:val="24"/>
          <w:lang w:val="es-ES"/>
        </w:rPr>
      </w:pPr>
      <w:r>
        <w:rPr>
          <w:rFonts w:ascii="Georgia" w:hAnsi="Georgia"/>
          <w:b/>
          <w:i/>
          <w:sz w:val="24"/>
          <w:szCs w:val="24"/>
        </w:rPr>
        <w:t>ARTÍCULO 305</w:t>
      </w:r>
      <w:r w:rsidRPr="003A174E">
        <w:rPr>
          <w:rFonts w:ascii="Georgia" w:hAnsi="Georgia"/>
          <w:b/>
          <w:i/>
          <w:sz w:val="24"/>
          <w:szCs w:val="24"/>
          <w:lang w:val="es-ES"/>
        </w:rPr>
        <w:t>º</w:t>
      </w:r>
      <w:r w:rsidRPr="003A174E">
        <w:rPr>
          <w:rFonts w:ascii="Georgia" w:hAnsi="Georgia"/>
          <w:b/>
          <w:i/>
          <w:sz w:val="24"/>
          <w:szCs w:val="24"/>
        </w:rPr>
        <w:t xml:space="preserve"> </w:t>
      </w:r>
      <w:r w:rsidRPr="003A174E">
        <w:rPr>
          <w:rFonts w:ascii="Georgia" w:hAnsi="Georgia"/>
          <w:b/>
          <w:i/>
          <w:sz w:val="24"/>
          <w:szCs w:val="24"/>
          <w:lang w:val="es-ES"/>
        </w:rPr>
        <w:t>(</w:t>
      </w:r>
      <w:r w:rsidRPr="003A174E">
        <w:rPr>
          <w:rFonts w:ascii="Georgia" w:hAnsi="Georgia"/>
          <w:b/>
          <w:i/>
          <w:sz w:val="24"/>
          <w:szCs w:val="24"/>
        </w:rPr>
        <w:t>NUEVO</w:t>
      </w:r>
      <w:r w:rsidRPr="003A174E">
        <w:rPr>
          <w:rFonts w:ascii="Georgia" w:hAnsi="Georgia"/>
          <w:b/>
          <w:i/>
          <w:sz w:val="24"/>
          <w:szCs w:val="24"/>
          <w:lang w:val="es-ES"/>
        </w:rPr>
        <w:t>)</w:t>
      </w:r>
      <w:r w:rsidRPr="003A174E">
        <w:rPr>
          <w:rFonts w:ascii="Georgia" w:hAnsi="Georgia"/>
          <w:b/>
          <w:i/>
          <w:sz w:val="24"/>
          <w:szCs w:val="24"/>
        </w:rPr>
        <w:t>.</w:t>
      </w:r>
      <w:r w:rsidRPr="003A174E">
        <w:rPr>
          <w:rFonts w:ascii="Georgia" w:hAnsi="Georgia"/>
          <w:i/>
          <w:sz w:val="24"/>
          <w:szCs w:val="24"/>
        </w:rPr>
        <w:t xml:space="preserve"> </w:t>
      </w:r>
      <w:r w:rsidRPr="003A174E">
        <w:rPr>
          <w:rFonts w:ascii="Georgia" w:hAnsi="Georgia"/>
          <w:b/>
          <w:i/>
          <w:sz w:val="24"/>
          <w:szCs w:val="24"/>
        </w:rPr>
        <w:t>COFINANCIACIÓN DE SISTEMAS DE TRANSPORTE MASIVO QUE SE CONECTEN CON LOS AEROPUERTOS</w:t>
      </w:r>
      <w:r w:rsidRPr="003A174E">
        <w:rPr>
          <w:rFonts w:ascii="Georgia" w:hAnsi="Georgia"/>
          <w:i/>
          <w:sz w:val="24"/>
          <w:szCs w:val="24"/>
        </w:rPr>
        <w:t xml:space="preserve">. Créese una Tasa que coadyuve a la financiación de sistemas de transporte público de pasajeros del modo férreo, de alimentación eléctrica, que brinden conexión directa con los aeropuertos.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 xml:space="preserve">El Ministerio de Transporte establecerá la tarifa de la Tasa bajo los siguientes parámetros. </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El hecho generador es la prestación efectiva o potencial del servicio público de transporte masivo de pasajeros del modo férreo conectado con el modo aéreo, siempre y cuando exista una infraestructura operativa que dé derecho al usuario a acceder a la infraestructura intermodal y a usar el servicio férreo.</w:t>
      </w:r>
    </w:p>
    <w:p w:rsidR="00EC45FF" w:rsidRPr="003A174E" w:rsidRDefault="00EC45FF" w:rsidP="00EC45FF">
      <w:pPr>
        <w:spacing w:after="0"/>
        <w:jc w:val="both"/>
        <w:rPr>
          <w:rFonts w:ascii="Georgia" w:hAnsi="Georgia"/>
          <w:i/>
          <w:sz w:val="24"/>
          <w:szCs w:val="24"/>
        </w:rPr>
      </w:pPr>
    </w:p>
    <w:p w:rsidR="00EC45FF" w:rsidRPr="003A174E" w:rsidRDefault="00EC45FF" w:rsidP="00EC45FF">
      <w:pPr>
        <w:spacing w:after="0"/>
        <w:jc w:val="both"/>
        <w:rPr>
          <w:rFonts w:ascii="Georgia" w:hAnsi="Georgia"/>
          <w:i/>
          <w:sz w:val="24"/>
          <w:szCs w:val="24"/>
        </w:rPr>
      </w:pPr>
      <w:r w:rsidRPr="003A174E">
        <w:rPr>
          <w:rFonts w:ascii="Georgia" w:hAnsi="Georgia"/>
          <w:i/>
          <w:sz w:val="24"/>
          <w:szCs w:val="24"/>
        </w:rPr>
        <w:t>Serán sujetos activos las autoridades de transporte del municipio, distrito o área metropolitana, encargados de la prestación del servicio público de transporte férreo.</w:t>
      </w:r>
    </w:p>
    <w:p w:rsidR="00EC45FF" w:rsidRPr="003A174E" w:rsidRDefault="00EC45FF" w:rsidP="00EC45FF">
      <w:pPr>
        <w:spacing w:after="0"/>
        <w:jc w:val="both"/>
        <w:rPr>
          <w:rFonts w:ascii="Georgia" w:hAnsi="Georgia"/>
          <w:i/>
          <w:sz w:val="24"/>
          <w:szCs w:val="24"/>
        </w:rPr>
      </w:pPr>
    </w:p>
    <w:p w:rsidR="00EC45FF" w:rsidRPr="003A174E" w:rsidRDefault="00EC45FF" w:rsidP="00EC45FF">
      <w:pPr>
        <w:pStyle w:val="Textosinformato"/>
        <w:jc w:val="both"/>
        <w:rPr>
          <w:rFonts w:ascii="Georgia" w:hAnsi="Georgia" w:cs="Arial"/>
          <w:i/>
          <w:sz w:val="24"/>
          <w:szCs w:val="24"/>
        </w:rPr>
      </w:pPr>
      <w:r w:rsidRPr="003A174E">
        <w:rPr>
          <w:rFonts w:ascii="Georgia" w:hAnsi="Georgia" w:cs="Arial"/>
          <w:i/>
          <w:sz w:val="24"/>
          <w:szCs w:val="24"/>
        </w:rPr>
        <w:t xml:space="preserve">Serán sujetos pasivos los usuarios del transporte público férreo que tengan como origen o destino el aeropuerto, al igual que todos los pasajeros del transporte aéreo que tengan como origen el aeropuerto conectado con el transporte férreo, de alimentación eléctrica. En ningún caso se causará doble tasa en cabeza del mismo sujeto. </w:t>
      </w:r>
    </w:p>
    <w:p w:rsidR="00EC45FF" w:rsidRPr="003A174E" w:rsidRDefault="00EC45FF" w:rsidP="00EC45FF">
      <w:pPr>
        <w:pStyle w:val="Textosinformato"/>
        <w:jc w:val="both"/>
        <w:rPr>
          <w:rFonts w:ascii="Georgia" w:hAnsi="Georgia" w:cs="Arial"/>
          <w:i/>
          <w:sz w:val="24"/>
          <w:szCs w:val="24"/>
        </w:rPr>
      </w:pPr>
    </w:p>
    <w:p w:rsidR="00EC45FF" w:rsidRPr="003A174E" w:rsidRDefault="00EC45FF" w:rsidP="00EC45FF">
      <w:pPr>
        <w:pStyle w:val="Textosinformato"/>
        <w:jc w:val="both"/>
        <w:rPr>
          <w:rFonts w:ascii="Georgia" w:hAnsi="Georgia" w:cs="Arial"/>
          <w:i/>
          <w:sz w:val="24"/>
          <w:szCs w:val="24"/>
        </w:rPr>
      </w:pPr>
      <w:r w:rsidRPr="003A174E">
        <w:rPr>
          <w:rFonts w:ascii="Georgia" w:hAnsi="Georgia" w:cs="Arial"/>
          <w:i/>
          <w:sz w:val="24"/>
          <w:szCs w:val="24"/>
        </w:rPr>
        <w:t xml:space="preserve">La metodología para fijar la tarifa es la de recuperación de costos y gastos para construcción, operación y mantenimiento de la infraestructura adicional necesaria para llegar al aeropuerto. La recuperación de costos y gastos se debe calcular en valor presente a la tasa de descuento del proyecto. </w:t>
      </w:r>
    </w:p>
    <w:p w:rsidR="00EC45FF" w:rsidRPr="003A174E" w:rsidRDefault="00EC45FF" w:rsidP="00EC45FF">
      <w:pPr>
        <w:pStyle w:val="Textosinformato"/>
        <w:jc w:val="both"/>
        <w:rPr>
          <w:rFonts w:ascii="Georgia" w:hAnsi="Georgia" w:cs="Arial"/>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306</w:t>
      </w:r>
      <w:r w:rsidRPr="003A174E">
        <w:rPr>
          <w:rFonts w:ascii="Georgia" w:hAnsi="Georgia"/>
          <w:b/>
          <w:i/>
          <w:sz w:val="24"/>
          <w:szCs w:val="24"/>
          <w:lang w:val="es-CO"/>
        </w:rPr>
        <w:t>°. DESTINACIÓN DE MULTAS Y SANCIONES.</w:t>
      </w:r>
      <w:r w:rsidRPr="003A174E">
        <w:rPr>
          <w:rFonts w:ascii="Georgia" w:hAnsi="Georgia"/>
          <w:i/>
          <w:sz w:val="24"/>
          <w:szCs w:val="24"/>
          <w:lang w:val="es-CO"/>
        </w:rPr>
        <w:t xml:space="preserve"> Modifíquese el artículo 160 de la Ley 769 de 2002, el cual quedará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160. DESTINACIÓN DE MULTAS Y SANCIONES. De conformidad con las normas presupuestales respectivas, el recaudo por concepto de multas y sanciones por infracciones de tránsito,  se destinará a la ejecución de los planes y proyectos del sector movilidad, en aspectos tales como planes de tránsito, transporte y movilidad, educación, dotación de equipos, combustible, seguridad vial, operación e infraestructura vial del servicio de transporte público de pasajeros, transporte no motorizado, y gestión del sistema de recaudo de las multas, salvo en lo que corresponde a la Federación Colombiana de Municipios.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PARÁGRAFO: En lo que se refiere al servicio de transporte público las entidades territoriales que cuenten con sistemas de transporte cofinanciados por la </w:t>
      </w:r>
      <w:r>
        <w:rPr>
          <w:rFonts w:ascii="Georgia" w:hAnsi="Georgia"/>
          <w:i/>
          <w:sz w:val="24"/>
          <w:szCs w:val="24"/>
          <w:lang w:val="es-CO"/>
        </w:rPr>
        <w:t>N</w:t>
      </w:r>
      <w:r w:rsidRPr="003A174E">
        <w:rPr>
          <w:rFonts w:ascii="Georgia" w:hAnsi="Georgia"/>
          <w:i/>
          <w:sz w:val="24"/>
          <w:szCs w:val="24"/>
          <w:lang w:val="es-CO"/>
        </w:rPr>
        <w:t>ación priorizarán la financiación de estos sistemas.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307</w:t>
      </w:r>
      <w:r w:rsidRPr="003A174E">
        <w:rPr>
          <w:rFonts w:ascii="Georgia" w:hAnsi="Georgia"/>
          <w:b/>
          <w:i/>
          <w:sz w:val="24"/>
          <w:szCs w:val="24"/>
          <w:lang w:val="es-CO"/>
        </w:rPr>
        <w:t>°. FONDO NACIONAL DE MODERNIZACIÓN DEL PARQUE AUTOMOTOR DE CARGA.</w:t>
      </w:r>
      <w:r w:rsidRPr="003A174E">
        <w:rPr>
          <w:rFonts w:ascii="Georgia" w:hAnsi="Georgia"/>
          <w:i/>
          <w:sz w:val="24"/>
          <w:szCs w:val="24"/>
          <w:lang w:val="es-CO"/>
        </w:rPr>
        <w:t xml:space="preserve"> Créase el Fondo Nacional de Modernización del Parque Automotor de Carga, como un patrimonio autónomo constituido mediante la celebración de un contrato de fiducia mercantil por parte del Ministerio de Transporte, con el objeto de financiar el programa de modernización del parque automotor de carga.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Fondo se financiará con: i) el saldo de los recursos pendientes por ejecutar del “Programa de Promoción para la Reposición y Renovación del Parque Automotor de Carga”; ii) los recursos provenientes del pago efectuado por los interesados dentro del proceso de normalización del registro inicial de vehículos de carga y/o del pago de un porcentaje del valor comercial del vehículo nuevo de carga, que reglamente el Gobierno nacional como requisito para su matrícula inicial; iii) los recursos aportados por particulares y organismos multilaterales; y, iv) los recursos que de manera subsidiaria aporte el Gobierno nacional de acuerdo con el marco de gasto del sector y el Marco Fiscal de Mediano Plazo.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308</w:t>
      </w:r>
      <w:r w:rsidRPr="003A174E">
        <w:rPr>
          <w:rFonts w:ascii="Georgia" w:hAnsi="Georgia"/>
          <w:b/>
          <w:i/>
          <w:sz w:val="24"/>
          <w:szCs w:val="24"/>
          <w:lang w:val="es-CO"/>
        </w:rPr>
        <w:t>°. CONTRIBUCIÓN DE LAS CONCESIONES AL FUNCIONAMIENTO DE LA AGENCIA NACIONAL DE INFRAESTRUCTURA - ANI.</w:t>
      </w:r>
      <w:r w:rsidRPr="003A174E">
        <w:rPr>
          <w:rFonts w:ascii="Georgia" w:hAnsi="Georgia"/>
          <w:i/>
          <w:sz w:val="24"/>
          <w:szCs w:val="24"/>
          <w:lang w:val="es-CO"/>
        </w:rPr>
        <w:t xml:space="preserve"> De los recursos percibidos por la Nación por concepto de las concesiones férreas y aéreas otorgadas por la ANI se destinará un porcentaje para su funcionamiento, de la siguiente manera: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las concesiones férreas y aéreas, el gobierno nacional definirá y aplicará una fórmula que permita repartir porcentualmente los recursos recaudados por el uso de la infraestructura de cada uno de los modos para los gastos de funcionamiento de la Agencia Nacional de Infraestructura. El porcentaje restante por concepto de recaudo por uso de la infraestructura, será destinado a financiar la construcción, mantenimiento y operación de cada modo, según corresponda.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En todo caso, el porcentaje señalado en este artículo no podrá ser superior al 15% por modo para la financiación del presupuesto del funcionamiento de la ANI.</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309</w:t>
      </w:r>
      <w:r w:rsidRPr="003A174E">
        <w:rPr>
          <w:rFonts w:ascii="Georgia" w:hAnsi="Georgia"/>
          <w:b/>
          <w:bCs/>
          <w:i/>
          <w:sz w:val="24"/>
          <w:szCs w:val="24"/>
          <w:lang w:val="es-CO"/>
        </w:rPr>
        <w:t xml:space="preserve">°. ACCESO A LAS TIC Y DESPLIEGUE DE LA INFRAESTRUCTURA. </w:t>
      </w:r>
      <w:r w:rsidRPr="003A174E">
        <w:rPr>
          <w:rFonts w:ascii="Georgia" w:hAnsi="Georgia"/>
          <w:i/>
          <w:sz w:val="24"/>
          <w:szCs w:val="24"/>
          <w:lang w:val="es-CO"/>
        </w:rPr>
        <w:t>Modifíquese el parágrafo primero del artículo 193 de la Ley 1753 de 2015, el cual quedará así.</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PARÁGRAFO 1. Los alcaldes podrán promover las acciones necesarias para implementar la modificación de los planes de ordenamiento territorial y demás </w:t>
      </w:r>
      <w:r w:rsidRPr="003A174E">
        <w:rPr>
          <w:rFonts w:ascii="Georgia" w:hAnsi="Georgia"/>
          <w:i/>
          <w:sz w:val="24"/>
          <w:szCs w:val="24"/>
          <w:lang w:val="es-CO"/>
        </w:rPr>
        <w:lastRenderedPageBreak/>
        <w:t>normas distritales o municipales que contengan barreras al despliegue de infraestructura para la prestación de servicios de telecomunicaciones. El Ministerio de Tecnologías de la Información y las Comunicaciones priorizará a aquellas entidades territoriales que hayan levantado tales barreras, incluyéndolas en el listado de potenciales candidatos a ser beneficiados con las obligaciones de hacer que el Ministerio puede imponer a los proveedores de redes y servicios de telecomunicaciones móviles, como mecanismo de ampliación de cobertura de servicios de telecomunicaciones. Para constatar la inexistencia y remoción de las barreras en mención, el alcalde deberá solicitar a la Comisión de Regulación de Comunicaciones o a quien haga sus veces que, en ejercicio de las facultades que le confiere el presente artículo, constate si las barreras ya fueron levantadas. Una vez la Comisión de Regulación de Comunicaciones acredite que la respectiva entidad territorial no presenta barreras al despliegue de infraestructura de telecomunicaciones, el Ministerio de Tecnologías de la Información incluirá al municipio en el listado antes mencionado.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310</w:t>
      </w:r>
      <w:r w:rsidRPr="003A174E">
        <w:rPr>
          <w:rFonts w:ascii="Georgia" w:hAnsi="Georgia"/>
          <w:b/>
          <w:i/>
          <w:sz w:val="24"/>
          <w:szCs w:val="24"/>
          <w:lang w:val="es-CO"/>
        </w:rPr>
        <w:t xml:space="preserve">º. EXPANSIÓN DE LAS TELECOMUNICACIONES. </w:t>
      </w:r>
      <w:r w:rsidRPr="003A174E">
        <w:rPr>
          <w:rFonts w:ascii="Georgia" w:hAnsi="Georgia"/>
          <w:i/>
          <w:sz w:val="24"/>
          <w:szCs w:val="24"/>
          <w:lang w:val="es-CO"/>
        </w:rPr>
        <w:t>Modifíquese el artículo 194 de la Ley 1753 de 2015, el cual quedará así:</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ARTÍCULO 194. EXPANSIÓN DE LAS TELECOMUNICACIONES</w:t>
      </w:r>
      <w:r w:rsidRPr="003A174E">
        <w:rPr>
          <w:rFonts w:ascii="Georgia" w:hAnsi="Georgia"/>
          <w:b/>
          <w:i/>
          <w:sz w:val="24"/>
          <w:szCs w:val="24"/>
          <w:lang w:val="es-CO"/>
        </w:rPr>
        <w:t xml:space="preserve">. </w:t>
      </w:r>
      <w:r w:rsidRPr="003A174E">
        <w:rPr>
          <w:rFonts w:ascii="Georgia" w:hAnsi="Georgia"/>
          <w:i/>
          <w:sz w:val="24"/>
          <w:szCs w:val="24"/>
          <w:lang w:val="es-CO"/>
        </w:rPr>
        <w:t xml:space="preserve">El Gobierno nacional, a través del Ministerio de Tecnologías de la Información y las Comunicaciones - MinTIC, diseñará e implementará planes, programas y proyectos que promuevan en forma prioritaria el acceso y el servicio universal a las Tecnologías de la Información y las Comunicaciones - TIC. Igualmente, en coordinación con la Autoridad Nacional de Televisión - ANTV, o quien haga sus veces, se promoverá el diseño o implementación de planes, programas y proyectos para el desarrollo de la Televisión Digital Terrestre - TDT y Direct to Home - DTH para que éstas lleguen a todo el territorio nacional. Para el efecto: </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1. El MinTIC priorizará las iniciativas de acceso público a Internet, en beneficio de la población pobre y vulnerable, o en zonas apartadas; </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2. El MinTIC podrá adelantar iniciativas de masificación del acceso a Internet con participación del sector privado, mediante cualquiera de los mecanismos de contratación dispuestos en las normas vigentes;</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 xml:space="preserve">3. El MinTIC y la ANTV, o quien haga sus veces, promoverán, respectivamente, que las entidades públicas e instituciones educativas del orden nacional y territorial financien sus necesidades de conectividad a Internet, TDT y DTH, sin perjuicio de la cooperación para el desarrollo de proyectos orientados a la satisfacción de necesidades de acceso y uso de Internet y acceso a TDT y DTH de la población pobre y vulnerable, o en zonas apartadas; </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4. El MinTIC, para la implementación de las iniciativas de acceso público a Internet, podrá impulsar estrategias que fomenten el uso de tecnologías costo-</w:t>
      </w:r>
      <w:r w:rsidRPr="003A174E">
        <w:rPr>
          <w:rFonts w:ascii="Georgia" w:hAnsi="Georgia"/>
          <w:i/>
          <w:sz w:val="24"/>
          <w:szCs w:val="24"/>
          <w:lang w:val="es-CO"/>
        </w:rPr>
        <w:lastRenderedPageBreak/>
        <w:t xml:space="preserve">eficientes bajo condiciones regulatorias especiales que sean definidas para el efecto por el regulador y mecanismos que optimicen la inversión en capacidad satelital u otras alternativas; </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5. El MinTIC implementará iniciativas de estímulo a la oferta y a la demanda de servicios de telecomunicaciones en beneficio de la población pobre y vulnerable, incluyendo el fomento al despliegue de redes de acceso y expansión de cobertura, así como subsidios o subvenciones para la prestación de los servicios o el suministro de terminales, entre otros; </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6. El Fondo de las Tecnologías de la Información y las Comunicaciones - FONTIC, o quien haga sus veces, podrá promover la prestación del servicio de internet a través de los operadores de televisión comunitaria, previa inscripción e incorporación de éstos en el registro TIC. Para el efecto, podrá suscribir convenios de asociación con entidades sin ánimo de lucro, de reconocida idoneidad, en los términos de los artículos 355 de la Constitución Política y 96 de la Ley 489 de 1998;</w:t>
      </w:r>
    </w:p>
    <w:p w:rsidR="00EC45FF" w:rsidRPr="003A174E" w:rsidRDefault="00EC45FF" w:rsidP="00EC45FF">
      <w:pPr>
        <w:spacing w:afterLines="20" w:after="48" w:line="240" w:lineRule="auto"/>
        <w:jc w:val="both"/>
        <w:rPr>
          <w:rFonts w:ascii="Georgia" w:hAnsi="Georgia"/>
          <w:bCs/>
          <w:i/>
          <w:sz w:val="24"/>
          <w:szCs w:val="24"/>
          <w:lang w:val="es-CO"/>
        </w:rPr>
      </w:pPr>
    </w:p>
    <w:p w:rsidR="00EC45FF" w:rsidRPr="003A174E" w:rsidRDefault="00EC45FF" w:rsidP="00EC45FF">
      <w:pPr>
        <w:spacing w:afterLines="20" w:after="48" w:line="240" w:lineRule="auto"/>
        <w:jc w:val="both"/>
        <w:rPr>
          <w:rFonts w:ascii="Georgia" w:hAnsi="Georgia"/>
          <w:bCs/>
          <w:i/>
          <w:sz w:val="24"/>
          <w:szCs w:val="24"/>
          <w:lang w:val="es-CO"/>
        </w:rPr>
      </w:pPr>
      <w:r w:rsidRPr="003A174E">
        <w:rPr>
          <w:rFonts w:ascii="Georgia" w:hAnsi="Georgia"/>
          <w:bCs/>
          <w:i/>
          <w:sz w:val="24"/>
          <w:szCs w:val="24"/>
          <w:lang w:val="es-CO"/>
        </w:rPr>
        <w:t>7. El MinTIC podrá establecer obligaciones de hacer como forma de pago de la contraprestación económica por el otorgamiento o renovación de los permisos de uso del espectro radioeléctrico, para ampliar la calidad, capacidad y cobertura del servicio, que beneficie a población pobre y vulnerable, o en zonas apartadas, en escuelas públicas ubicadas en zonas rurales y otras instituciones oficiales como centros de salud, bibliotecas públicas e instituciones educativas, así como prestar redes de emergencias. Las inversiones a reconocer serán determinadas por el MinTIC de acuerdo con la reglamentación que expida al respecto;</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r w:rsidRPr="003A174E">
        <w:rPr>
          <w:rFonts w:ascii="Georgia" w:hAnsi="Georgia"/>
          <w:i/>
          <w:sz w:val="24"/>
          <w:szCs w:val="24"/>
          <w:lang w:val="es-CO"/>
        </w:rPr>
        <w:t>El FONTIC, o quien haga sus veces, podrá financiar el desarrollo de las iniciativas contenidas en los numerales 1 al 6 del presente artículo.</w:t>
      </w: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1. </w:t>
      </w:r>
      <w:r w:rsidRPr="003A174E">
        <w:rPr>
          <w:rFonts w:ascii="Georgia" w:hAnsi="Georgia"/>
          <w:i/>
          <w:sz w:val="24"/>
          <w:szCs w:val="24"/>
          <w:lang w:val="es-CO"/>
        </w:rPr>
        <w:t>Los estímulos de que trata el presente artículo tendrán un periodo máximo de aplicación definido en la reglamentación del programa y un desmonte ajustado a una senda gradual decreciente, siempre que guarden consistencia con la proyección de ingresos del FONTIC, o quien haga sus veces.</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2. </w:t>
      </w:r>
      <w:r w:rsidRPr="003A174E">
        <w:rPr>
          <w:rFonts w:ascii="Georgia" w:hAnsi="Georgia"/>
          <w:i/>
          <w:sz w:val="24"/>
          <w:szCs w:val="24"/>
          <w:lang w:val="es-CO"/>
        </w:rPr>
        <w:t>Los recursos que se destinen y asignen para dar cumplimiento a lo dispuesto en este artículo, deberán ser consistentes con el Marco Fiscal de Mediano Plazo y el Marco de Gasto del Sector Tecnologías de la Información y las Comunicaciones.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311</w:t>
      </w:r>
      <w:r w:rsidRPr="003A174E">
        <w:rPr>
          <w:rFonts w:ascii="Georgia" w:hAnsi="Georgia"/>
          <w:b/>
          <w:i/>
          <w:sz w:val="24"/>
          <w:szCs w:val="24"/>
          <w:lang w:val="es-CO"/>
        </w:rPr>
        <w:t xml:space="preserve">º. CONTRAPRESTACIONES A CARGO DE LOS OPERADORES POSTALES. </w:t>
      </w:r>
      <w:r w:rsidRPr="003A174E">
        <w:rPr>
          <w:rFonts w:ascii="Georgia" w:hAnsi="Georgia"/>
          <w:i/>
          <w:sz w:val="24"/>
          <w:szCs w:val="24"/>
          <w:lang w:val="es-CO"/>
        </w:rPr>
        <w:t xml:space="preserve">Adiciónese el parágrafo 3 al artículo 14 de la Ley 1369 de 2009, así: </w:t>
      </w: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3.</w:t>
      </w:r>
      <w:r w:rsidRPr="003A174E">
        <w:rPr>
          <w:rFonts w:ascii="Georgia" w:hAnsi="Georgia"/>
          <w:i/>
          <w:sz w:val="24"/>
          <w:szCs w:val="24"/>
          <w:lang w:val="es-CO"/>
        </w:rPr>
        <w:t xml:space="preserve"> La contraprestación periódica de que trata este artículo y el valor que deben pagar los operadores postales para ser inscritos en el Registro de Operadores Postales o renovar su inscripción podrá pagarse mediante la ejecución de obligaciones de hacer, que serán previamente autorizadas por el Ministerio de Tecnologías de la Información y las Comunicaciones, de acuerdo con la reglamentación que este defina al respecto. Estas obligaciones deberán ejecutarse mediante proyectos que permitan masificar el acceso universal a Internet en todo el territorio nacional, a través del aprovechamiento de las redes postales, que beneficie a población pobre y vulnerable, o en zonas apartadas. Las inversiones por reconocer serán determinadas por el Ministerio de Tecnologías de la Información y las Comunicaciones. Estas obligaciones contarán con una supervisión o interventoría técnica, administrativa y financiera a cargo del Ministerio, que garantice transparencia y cumplimiento de las obligaciones de hacer. Los recursos necesarios para financiar la supervisión o interventoría deberán ser garantizados por el Fondo de Tecnologías de la Información y las Comunicaciones, o quién haga sus veces.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ejecución de las obligaciones de hacer de que trata el presente artículo, por parte de los operadores postales, no implica la modificación de la clasificación legal de los servicios postales para los cuales se encuentra habilitado conforme lo define la Ley 1369 de 2009. Esto incluye el cumplimiento de todas las demás obligaciones de origen legal, reglamentario, regulatorio, aplicables al servicio.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SUBSECCIÓN 7</w:t>
      </w: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EQUIDAD PARA LA EFICIENTE PRESTACIÓN DEL SERVICIO PÚBLICO DE ENERGÍA EN LA COSTA CARIBE</w:t>
      </w:r>
    </w:p>
    <w:p w:rsidR="00EC45FF" w:rsidRPr="003A174E" w:rsidRDefault="00EC45FF" w:rsidP="00EC45FF">
      <w:pPr>
        <w:spacing w:afterLines="20" w:after="48" w:line="240" w:lineRule="auto"/>
        <w:jc w:val="center"/>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312</w:t>
      </w:r>
      <w:r w:rsidRPr="003A174E">
        <w:rPr>
          <w:rFonts w:ascii="Georgia" w:hAnsi="Georgia"/>
          <w:b/>
          <w:i/>
          <w:sz w:val="24"/>
          <w:szCs w:val="24"/>
          <w:lang w:val="es-CO"/>
        </w:rPr>
        <w:t>°. MEDIDAS DE SOSTENIBILIDAD FINANCIERA DEL FONDO EMPRESARIAL.</w:t>
      </w:r>
      <w:r w:rsidRPr="003A174E">
        <w:rPr>
          <w:rFonts w:ascii="Georgia" w:hAnsi="Georgia"/>
          <w:i/>
          <w:sz w:val="24"/>
          <w:szCs w:val="24"/>
          <w:lang w:val="es-CO"/>
        </w:rPr>
        <w:t xml:space="preserve"> Autorícese a la Nación para que directa o indirectamente adopte medidas de financiamiento al Fondo Empresarial de la SSPD, incluyendo créditos y garantías, los cuales podrán ser superiores a un año. No se requerirá la constitución de garantías ni contragarantías cuando la Nación otorgue estos créditos o garantías, y las operaciones estarán exentas de los aportes al Fondo de Contingencias creado por Ley 448 de 1998.  Los términos para desarrollar estas autorizaciones se rigen por lo dispuesto en este Capítulo.  El Gobierno Nacional reglamentará la materia.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Harán parte de las medidas autorizadas de sostenibilidad del Fondo Empresarial, la provisión de recursos de la Nación y otras entidades estatales con recursos líquidos y en especie (tales como acciones), incluyendo sus frutos.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313</w:t>
      </w:r>
      <w:r w:rsidRPr="003A174E">
        <w:rPr>
          <w:rFonts w:ascii="Georgia" w:hAnsi="Georgia"/>
          <w:b/>
          <w:i/>
          <w:sz w:val="24"/>
          <w:szCs w:val="24"/>
          <w:lang w:val="es-CO"/>
        </w:rPr>
        <w:t>°. SOBRETASA POR KILOVATIO HORA CONSUMIDO PARA FORTALECER AL FONDO EMPRESARIAL EN EL TERRITORIO NACIONAL.</w:t>
      </w:r>
      <w:r w:rsidRPr="003A174E">
        <w:rPr>
          <w:rFonts w:ascii="Georgia" w:hAnsi="Georgia"/>
          <w:i/>
          <w:sz w:val="24"/>
          <w:szCs w:val="24"/>
          <w:lang w:val="es-CO"/>
        </w:rPr>
        <w:t xml:space="preserve">  A partir de la expedición de la presente Ley y hasta el 31 de diciembre </w:t>
      </w:r>
      <w:r w:rsidRPr="003A174E">
        <w:rPr>
          <w:rFonts w:ascii="Georgia" w:hAnsi="Georgia"/>
          <w:i/>
          <w:sz w:val="24"/>
          <w:szCs w:val="24"/>
          <w:lang w:val="es-CO"/>
        </w:rPr>
        <w:lastRenderedPageBreak/>
        <w:t xml:space="preserve">de 2022, créase una sobretasa nacional de cuatro pesos moneda legal colombiana ($4 COP) por kilovatio hora de energía eléctrica consumido, que será recaudada por los comercializadores del servicio de energía eléctrica y girada al Fondo Empresarial de la Superintendencia de Servicios Públicos Domiciliarios. La sobretasa será destinada al pago de las obligaciones financieras en las que incurra el Fondo Empresarial para garantizar la prestación del servicio de energía eléctrica de las empresas de energía eléctrica en toma de posesión en el territorio nacional. El hecho generador será el kilovatio hora consumido, y los responsables del pago de esta sobretasa serán los usuarios de los estratos 4, 5 y 6, los usuarios comerciales e industriales y los no regulados del servicio de energía eléctrica. La Superintendencia de Servicios Públicos Domiciliarios reglamentará el procedimiento para dar cumplimiento a lo previsto en este artículo.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314</w:t>
      </w:r>
      <w:r w:rsidRPr="003A174E">
        <w:rPr>
          <w:rFonts w:ascii="Georgia" w:hAnsi="Georgia"/>
          <w:b/>
          <w:i/>
          <w:sz w:val="24"/>
          <w:szCs w:val="24"/>
          <w:lang w:val="es-CO"/>
        </w:rPr>
        <w:t>°. CONTRIBUCIÓN ADICIONAL A LA CONTRIBUCIÓN DEFINIDA EN EL ARTÍCULO 85 DE LA LEY 142 DE 1994 PARA EL FORTALECIMIENTO DEL FONDO EMPRESARIAL.</w:t>
      </w:r>
      <w:r w:rsidRPr="003A174E">
        <w:rPr>
          <w:rFonts w:ascii="Georgia" w:hAnsi="Georgia"/>
          <w:i/>
          <w:sz w:val="24"/>
          <w:szCs w:val="24"/>
          <w:lang w:val="es-CO"/>
        </w:rPr>
        <w:t xml:space="preserve"> A partir del 1° de enero de 2020 y hasta el 31 de diciembre de 2022 se autoriza el cobro de una contribución adicional a la regulada en el artículo 85 de la Ley 142 de 1994. Dicha contribución se cobrará a favor del Fondo Empresarial de la Superintendencia de Servicios Públicos Domiciliarios. Las reglas aplicables a esta contribución serán las previstas en el artículo 85 de la Ley 142 de 1994, las normas que lo modifiquen o sustituyan. La tarifa será del uno por ciento (1%). Los sujetos pasivos serán los contribuyentes de la Superintendencia de Servicios Públicos Domiciliarios de la contribución regulada en el artículo 85 de la Ley 142 de 1994. El sujeto activo de esta contribución será la Superintendencia de Servicios Públicos Domiciliarios.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hecho generador de esta contribución será estar sometido a la inspección, vigilancia y control de la Superintendencia de Servicios Públicos Domiciliarios. El recaudo obtenido por esta contribución adicional se destinará en su totalidad al Fondo Empresarial de la Superintendencia de Servicios Públicos Domiciliarios. El traslado de los recursos de las cuentas de la Superintendencia al Fondo Empresarial de la Superintendencia de Servicios Públicos Domiciliarios estará exento del gravamen a los movimientos financieros.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315</w:t>
      </w:r>
      <w:r w:rsidRPr="003A174E">
        <w:rPr>
          <w:rFonts w:ascii="Georgia" w:hAnsi="Georgia"/>
          <w:b/>
          <w:i/>
          <w:sz w:val="24"/>
          <w:szCs w:val="24"/>
          <w:lang w:val="es-CO"/>
        </w:rPr>
        <w:t>°. SOSTENIBILIDAD DEL SERVICIO PÚBLICO MEDIANTE LA ASUNCIÓN DE PASIVOS.</w:t>
      </w:r>
      <w:r w:rsidRPr="003A174E">
        <w:rPr>
          <w:rFonts w:ascii="Georgia" w:hAnsi="Georgia"/>
          <w:i/>
          <w:sz w:val="24"/>
          <w:szCs w:val="24"/>
          <w:lang w:val="es-CO"/>
        </w:rPr>
        <w:t xml:space="preserve"> Autorícese a la Nación a asumir directa o indirectamente el pasivo pensional y prestacional, así como el pasivo de Electrificadora del Caribe S.A. E.S.P asociado al Fondo Empresarial de la siguiente manera: i) el pasivo pensional y prestacional correspondiente  a la totalidad de las pensiones y cesantías, ciertas o contingentes, pagaderas a los pensionados de Electrificadora del Caribe S.A. E.S.P y a las obligaciones convencionales, ciertas o contingentes, adquiridas por la causación del derecho a recibir el pago de la pensión convencional de jubilación y/o legal de vejez; ii) el pasivo de Electrificadora del Caribe S.A. E.S.P con el Fondo Empresarial correspondiente a las obligaciones en las cuales el Fondo haya incurrido o incurra, incluyendo garantías emitidas.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Para viabilizar el desarrollo del Artículo 1 de esta Capítulo, autorícese a la Nación para las constituir patrimonios autónomos, fondos necesarios para tal efecto, o una o más sociedades por acciones cuyo objeto principal sea adelantar las operaciones actualmente adelantadas por Electrificadora del Caribe S.A. E.S.P., para lo cual sus patrimonios podrán estar integrados, entre otros, por los activos de Electrificadora del Caribe S.A. E.S.P.  Estas sociedades que el Gobierno nacional decida constituir serán empresas de servicios públicos domiciliarios, sometidas a la Ley 142 de 1994 y demás normas complementarias, vinculadas al Ministerio de Hacienda y Crédito Público, con domicilio en la costa caribe. Su denominación y demás requisitos de estructura orgánica serán definidos por el gobierno nacional. Los activos de éstos podrán incluir, entre otras, rentas, tasas, contribuciones, recursos del Presupuesto General de la Nación, y las demás que determine el Gobierno nacional tales como los derechos litigiosos, cuentas por cobrar de la Nación y otras entidades públicas a Electrificadora del Caribe S.A. E.S.P. y/o a los causantes de la necesidad de la toma de posesión.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Para la gestión y el pago del pasivo pensional y prestacional, la Nación-Ministerio de Minas y Energía, constituirá el patrimonio autónomo -FONECA- cuyo objeto será recibir y administrar los recursos que se transfieran, así como, pagar el pasivo pensional y prestacional, como una cuenta especial, sin personería jurídica, cuyos recursos serán administrados por quien determine el Gobierno nacional. Los recursos y los rendimientos de este fondo tendrán destinación específica para pagar el pasivo pensional y prestacional, así como los gastos de administración del patrimonio autónomo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La Nación, el Fondo Empresarial o cualquier entidad del orden nacional, podrán llevar a cabo los actos necesarios para cumplir con los objetivos aquí planteados, incluyendo, entre otros, la cancelación de garantías y la condonación de obligaciones y los demás modos de extinción de las obligaciones. La asunción de los pasivos en los términos de este capítulo no requerirá autorizaciones adicionales a las aquí previstas.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ARTICULO 316</w:t>
      </w:r>
      <w:r w:rsidRPr="003A174E">
        <w:rPr>
          <w:rFonts w:ascii="Georgia" w:hAnsi="Georgia"/>
          <w:b/>
          <w:i/>
          <w:sz w:val="24"/>
          <w:szCs w:val="24"/>
          <w:lang w:val="es-CO"/>
        </w:rPr>
        <w:t>°. TÉRMINOS Y CONDICIONES DE LAS MEDIDAS DE SOSTENIBILIDAD.</w:t>
      </w:r>
      <w:r w:rsidRPr="003A174E">
        <w:rPr>
          <w:rFonts w:ascii="Georgia" w:hAnsi="Georgia"/>
          <w:i/>
          <w:sz w:val="24"/>
          <w:szCs w:val="24"/>
          <w:lang w:val="es-CO"/>
        </w:rPr>
        <w:t xml:space="preserve">  Como contraprestación por la asunción de los pasivos la Nación – Ministerio de Hacienda y Crédito Público directa o indirectamente adquirirá una o más cuentas por cobrar a cargo de Electrificadora del Caribe S.A. E.S.P. El CONPES determinará: a) el monto de las cuentas por cobrar con base en el concepto previo emitido por la Dirección General de Regulación Económica de la Seguridad Social del MHCP, a partir de la información que reciba del agente interventor de Electricaribe S.A. E.S.P., en cuanto al pasivo pensional y al pasivo prestacional, y de la SSPD en cuanto al pasivo asociado al Fondo Empresarial. b) los mecanismos para actualizar dichos montos hasta la fecha efectiva de la asunción del pasivo previsto en este Capítulo.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El Gobierno nacional reglamentará los términos y condiciones de la asunción de pasivos y aquellos aspectos conexos de la vinculación de capital privado, público o mixto, a través de uno o varios oferentes, a la solución estructural de la prestación del servicio público de energía eléctrica en la Costa Caribe en el marco del Artículo 1 de este Capítulo. La eventual insuficiencia de las fuentes de pago de las deudas de Electrificadora del Caribe S.A. E.S.P con la Nación o el Fondo Empresarial, se entenderán como gastos necesarios para asegurar la prestación eficiente del servicio público de distribución y comercialización de electricidad en la Costa Caribe del país, en consecuencia, no constituirán detrimento patrimonial.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documentos relacionados con la asunción de la deuda y el desarrollo del objeto de esta ley inciden en la estabilidad macroeconómica y financiera del país y se considerarán estudios técnicos de valoración de los activos de la Nación. En caso de que la asunción de los pasivos de los que trata el artículo anterior, se de en virtud de un proceso de vinculación de capital privado, público o mixto, el Consejo de Ministros o una comisión conformada por dicho órgano, podrá determinar un valor de referencia a partir del cual se habilita la transacción, que estará sujeto a reserva.  El Gobierno nacional podrá decidir que dicha reserva se levante en cualquier momento del curso del proceso de vinculación de capital, o en un momento posterior.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cuenta por cobrar que corresponda al pasivo pensional y al pasivo prestacional tendrá prelación sobre la parte de la cuenta por cobrar que corresponda al pasivo asociado al Fondo Empresarial. Por tratarse de medidas de salvamiento, estas cuentas por cobrar tendrán prelación en su pago sobre todos los pasivos a cargo de Electrificadora del Caribe S.A. E.S.P.</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Sin perjuicio de las cuentas por cobrar y las acciones indemnizatorias a las que haya lugar, una vez asumidos los pasivos, para viabilizar la sostenibilidad de las nuevas empresas prestadoras de servicios públicos, la Nación-MHCP, o quien ésta determine, será el único deudor frente a los acreedores de las deudas asumidas, sin que se predique solidaridad.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 reconocimiento y pago de los derechos pensionales y prestacionales que sea asumido directa o indirectamente por la Nación de conformidad con esta Ley, seguirán rigiéndose por las normas vigentes sobre la materia. En todo caso para garantizar el derecho fundamental a la seguridad social y la sostenibilidad del Fondo Empresarial, la Nación-MHCP será el garante subsidiario de dichos pasivos.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317</w:t>
      </w:r>
      <w:r w:rsidRPr="003A174E">
        <w:rPr>
          <w:rFonts w:ascii="Georgia" w:hAnsi="Georgia"/>
          <w:b/>
          <w:i/>
          <w:sz w:val="24"/>
          <w:szCs w:val="24"/>
          <w:lang w:val="es-CO"/>
        </w:rPr>
        <w:t>°. PRESERVACIÓN DEL SERVICIO.</w:t>
      </w:r>
      <w:r w:rsidRPr="003A174E">
        <w:rPr>
          <w:rFonts w:ascii="Georgia" w:hAnsi="Georgia"/>
          <w:i/>
          <w:sz w:val="24"/>
          <w:szCs w:val="24"/>
          <w:lang w:val="es-CO"/>
        </w:rPr>
        <w:t xml:space="preserve"> Para la preservación del servicio son aplicables al desarrollo de este capítulo, los artículos 38 y 61 de la Ley 142 de 1994. En consecuencia, los actos jurídicos mediante los cuales se implemente el objeto de este capítulo no se afectarán como consecuencia de la ineficacia que pueda declararse respecto de los demás actos relacionados con la toma de posesión </w:t>
      </w:r>
      <w:r w:rsidRPr="003A174E">
        <w:rPr>
          <w:rFonts w:ascii="Georgia" w:hAnsi="Georgia"/>
          <w:i/>
          <w:sz w:val="24"/>
          <w:szCs w:val="24"/>
          <w:lang w:val="es-CO"/>
        </w:rPr>
        <w:lastRenderedPageBreak/>
        <w:t xml:space="preserve">o liquidación de Electrificadora del Caribe S.A. E.S.P. Esto incluye los actos necesarios para una eventual capitalización de Electrificadora del Caribe S.A. ESP (o las sociedades creadas en el marco de la toma de posesión), la cual se autoriza mediante lo aquí dispuesto, el pago por parte de uno o varios particulares a Electrificadora del Caribe S.A. E.S.P o cualquier solución empresarial que se adopte para garantizar la prestación del servicio de energía eléctrica en el corto, mediano y largo plazo.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Para efectos de la transacción que se efectúe en desarrollo de este capítulo, no causarán tasa, contribución o impuestos de cualquier orden, los siguientes actos: (a) Las actuaciones llevadas a cabo por entidades públicas o por particulares, o los efectos percibidos por las mismas, en desarrollo de lo previsto en los artículos anteriores de este Capítulo, excluyendo las actividades para la operación de Electricaribe S.A. E.S.P o la operación de las sociedades que se creen para la prestación del servicio público de electricidad en el Costa Caribe; (b) La constitución y la realización de aportes a las sociedades que se lleguen a constituir como parte del proceso de adopción de medidas para asegurar la prestación eficiente del servicio público de distribución y comercialización de electricidad en la Costa Caribe; y (c) La enajenación de acciones de los vehículos jurídicos que se desarrollen o constituyan en el marco proceso de adopción de medidas para asegurar la prestación eficiente del servicio público de distribución y comercialización de electricidad en la Costa Caribe para la vinculación de un inversionista.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Electrificadora del Caribe S.A. E.S.P. podrá realizar, mediante documento privado, un listado individualizado de los bienes inmuebles que considere transferir a terceros, incluyendo los vehículos que se constituyan en el marco del proceso de toma de posesión de Electrificadora del Caribe S.A. E.S.P. Dicho listado será el título suficiente para llevar a cabo la tradición de los inmuebles, la cual se perfeccionará con la inscripción de dicho listado en las respectivas oficinas de instrumentos públicos.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registro de cualquiera de éstos actos no causará el impuesto de registro.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w:t>
      </w:r>
      <w:r w:rsidRPr="003A174E">
        <w:rPr>
          <w:rFonts w:ascii="Georgia" w:hAnsi="Georgia"/>
          <w:i/>
          <w:sz w:val="24"/>
          <w:szCs w:val="24"/>
          <w:lang w:val="es-CO"/>
        </w:rPr>
        <w:t>. Cualquier transferencia de activos que Electrificadora del Caribe S.A. E.S.P lleve a cabo a favor de cualquier vehículo jurídico que se desarrolle o constituya en el marco del proceso de toma de posesión de esta sociedad, no estará sujeta a las normas sobre la transferencia de establecimientos de comercio establecidas en los artículos 525 y siguientes del Código de Comercio.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318</w:t>
      </w:r>
      <w:r w:rsidRPr="003A174E">
        <w:rPr>
          <w:rFonts w:ascii="Georgia" w:hAnsi="Georgia"/>
          <w:b/>
          <w:i/>
          <w:sz w:val="24"/>
          <w:szCs w:val="24"/>
          <w:lang w:val="es-CO"/>
        </w:rPr>
        <w:t>°. ASPECTOS PARA AGILIZAR LA IMPLEMENTACION DE ESTE CAPÍTULO.</w:t>
      </w:r>
      <w:r w:rsidRPr="003A174E">
        <w:rPr>
          <w:rFonts w:ascii="Georgia" w:hAnsi="Georgia"/>
          <w:i/>
          <w:sz w:val="24"/>
          <w:szCs w:val="24"/>
          <w:lang w:val="es-CO"/>
        </w:rPr>
        <w:t xml:space="preserve"> Para efectos de la transacción que se efectúe en desarrollo de este Capítulo, estarán exentos de tasa, contribución e impuestos de cualquier orden, los siguientes actos: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(a) Las actuaciones llevadas a cabo por entidades públicas o por particulares, o los efectos percibidos por las mismas, en desarrollo de los previsto en los Artículos 2º, 3º, 4º y 5º de este Capítulo;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(b) La constitución y la realización de aportes a las sociedades que se lleguen a constituir como parte del proceso de adopción de medidas para asegurar la prestación eficiente del servicio público de distribución y comercialización de electricidad en la Costa Caribe y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La enajenación de acciones de los vehículos jurídicos que se desarrollen o constituyan en el marco proceso de adopción de medidas para asegurar la prestación eficiente del servicio público de distribución y comercialización de electricidad en la Costa Caribe para la vinculación de un inversionista.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Cualquier transferencia de activos que Electrificadora del Caribe S.A. E.S.P. lleve a cabo a favor de cualquier vehículo jurídico que se desarrolle o constituya en el marco del proceso de toma de posesión de esta sociedad, no estará sujeta a las normas sobre la transferencia de establecimientos de comercio establecidas en los artículos 525 y siguientes del Código de Comercio.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Electrificadora del Caribe S.A. E.S.P. realizará, mediante documento privado, un listado individualizado de los bienes inmuebles que deban transferirse a terceros, incluyendo los vehículos que se constituyan en el marco del proceso de toma de posesión de Electrificadora del Caribe S.A. E.S.P.  Dicho listado será el título suficiente para llevar a cabo la tradición de los inmuebles, la cual se perfeccionará con la inscripción de dicho listado en las respectivas oficinas de instrumentos públicos.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319</w:t>
      </w:r>
      <w:r w:rsidRPr="003A174E">
        <w:rPr>
          <w:rFonts w:ascii="Georgia" w:hAnsi="Georgia"/>
          <w:b/>
          <w:i/>
          <w:sz w:val="24"/>
          <w:szCs w:val="24"/>
          <w:lang w:val="es-CO"/>
        </w:rPr>
        <w:t>°. RÉGIMEN TRANSITORIO ESPECIAL PARA ASEGURAR LA SOSTENIBILIDAD DE LA PRESTACIÓN EFICIENTE DEL SERVICIO</w:t>
      </w:r>
      <w:r w:rsidRPr="003A174E">
        <w:rPr>
          <w:rFonts w:ascii="Georgia" w:hAnsi="Georgia"/>
          <w:i/>
          <w:sz w:val="24"/>
          <w:szCs w:val="24"/>
          <w:lang w:val="es-CO"/>
        </w:rPr>
        <w:t>. Con el fin de asegurar la prestación eficiente y sostenible del servicio público domiciliario de energía eléctrica en la Costa Caribe, autorícese al Gobierno Nacional para establecer un régimen transitorio especial en materia tarifaria para las actividades de distribución y comercialización de Electrificadora del Caribe S.A. E.S.P. o las empresas derivadas de Electrificadora del Caribe S.A. E.S.P. que se constituyan en el marco del proceso de toma de posesión de esta sociedad para las regiones en las se preste el servicio público. Este régimen regulatorio especial deberá establecer que la variación en las tarifas para ésta región sea al menos igual a la variación porcentual de tarifas del promedio nacional. Para estos efectos, los límites en la participación de la actividad de comercialización de energía eléctrica podrán ser superiores hasta en diez puntos porcentuales adicionales al límite regulatorio corriente.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lastRenderedPageBreak/>
        <w:t>PARÁGRAFO PRIMERO.</w:t>
      </w:r>
      <w:r w:rsidRPr="003A174E">
        <w:rPr>
          <w:rFonts w:ascii="Georgia" w:hAnsi="Georgia"/>
          <w:i/>
          <w:sz w:val="24"/>
          <w:szCs w:val="24"/>
          <w:lang w:val="es-CO"/>
        </w:rPr>
        <w:t xml:space="preserve"> Con recursos provenientes del sistema general de regalías se podrán financiar inversiones en infraestructura eléctrica, como aportes que no incidirán en la tarifa.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Las entidades estatales que sean deudoras de Electricaribe S.A. E.S.P. deberán tomar las medidas necesarias para cumplir con las obligaciones que se derivan del servicio público de energía. El incumplimiento por parte de cualquier entidad estatal de sus deberes como usuarios de servicios públicos, especialmente en lo relativo a la incorporación en los respectivos presupuestos de apropiaciones suficientes y </w:t>
      </w:r>
      <w:r w:rsidRPr="003A174E">
        <w:rPr>
          <w:rFonts w:ascii="Georgia" w:hAnsi="Georgia"/>
          <w:i/>
          <w:sz w:val="24"/>
          <w:szCs w:val="24"/>
          <w:lang w:val="es-CO"/>
        </w:rPr>
        <w:tab/>
        <w:t>al pago efectivo de los servicios utilizados, es causal de mala conducta para sus representantes legales y los funcionarios responsables, sancionable con destitución.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8</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EN MATERIA AMBIENTAL</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320</w:t>
      </w:r>
      <w:r w:rsidRPr="003A174E">
        <w:rPr>
          <w:rFonts w:ascii="Georgia" w:hAnsi="Georgia"/>
          <w:b/>
          <w:i/>
          <w:sz w:val="24"/>
          <w:szCs w:val="24"/>
          <w:lang w:val="es-CO"/>
        </w:rPr>
        <w:t xml:space="preserve">º. PAGO POR SERVICIOS AMBIENTALES EN TERRITORIOS INDÍGENAS. </w:t>
      </w:r>
      <w:r w:rsidRPr="003A174E">
        <w:rPr>
          <w:rFonts w:ascii="Georgia" w:hAnsi="Georgia"/>
          <w:i/>
          <w:sz w:val="24"/>
          <w:szCs w:val="24"/>
          <w:lang w:val="es-CO"/>
        </w:rPr>
        <w:t>Modifíquese el inciso segundo del artículo 3 del Decreto Ley 870 de 2017 y adiciónense dos parágrafos, así:</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Gobierno nacional y las organizaciones indígenas que asisten a la Mesa Permanente de Concertación - MPC construirán de manera conjunta la propuesta de reglamentación de Pago por Servicios Ambientales - PSA y otros incentivos de conservación para los pueblos y comunidades indígenas, y radicarán esta propuesta ante la MPC una vez entre en vigencia la Ley del Plan Nacional de Desarrollo - PND, para incluir su respectivo proceso de consulta previa con los pueblos y organizaciones indígenas. </w:t>
      </w: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r w:rsidRPr="003A174E">
        <w:rPr>
          <w:rFonts w:ascii="Georgia" w:hAnsi="Georgia"/>
          <w:b/>
          <w:i/>
          <w:sz w:val="24"/>
          <w:szCs w:val="24"/>
          <w:lang w:val="es-CO"/>
        </w:rPr>
        <w:t xml:space="preserve">PARÁGRAFO 1. </w:t>
      </w:r>
      <w:r w:rsidRPr="003A174E">
        <w:rPr>
          <w:rFonts w:ascii="Georgia" w:hAnsi="Georgia"/>
          <w:i/>
          <w:sz w:val="24"/>
          <w:szCs w:val="24"/>
          <w:lang w:val="es-CO"/>
        </w:rPr>
        <w:t>El presente artículo, se interpretará sin detrimento del derecho a la consulta previa sobre el PSA e incentivos a la conservación para los demás grupos étnicos del país.</w:t>
      </w:r>
    </w:p>
    <w:p w:rsidR="00EC45FF" w:rsidRPr="003A174E" w:rsidRDefault="00EC45FF" w:rsidP="00EC45FF">
      <w:pPr>
        <w:tabs>
          <w:tab w:val="left" w:pos="1365"/>
        </w:tabs>
        <w:spacing w:afterLines="20" w:after="48" w:line="240" w:lineRule="auto"/>
        <w:jc w:val="both"/>
        <w:rPr>
          <w:rFonts w:ascii="Georgia" w:hAnsi="Georgia"/>
          <w:b/>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b/>
          <w:i/>
          <w:sz w:val="24"/>
          <w:szCs w:val="24"/>
          <w:lang w:val="es-CO"/>
        </w:rPr>
        <w:t xml:space="preserve">PARÁGRAFO 2. </w:t>
      </w:r>
      <w:r w:rsidRPr="003A174E">
        <w:rPr>
          <w:rFonts w:ascii="Georgia" w:hAnsi="Georgia"/>
          <w:i/>
          <w:sz w:val="24"/>
          <w:szCs w:val="24"/>
          <w:lang w:val="es-CO"/>
        </w:rPr>
        <w:t>Aplicación del incentivo de Pago por Servicios Ambientales -PSA en territorios de Pueblos Indígenas. Para el diseño e implementación de PSA en territorios indígenas de que trata el artículo 3 de Decreto Ley 870 de 2017, se aplicará con carácter transitorio lo dispuesto por el Decreto 1007 de 2018 y las normas que les modifiquen o complementen, y adicionalmente se tendrán en cuenta las siguientes consideraciones:</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1. Los Proyectos de PSA en territorios indígenas serán de carácter voluntario entre las partes, reconocerán las prácticas tradicionales de producción, estarán en armonía con los instrumentos de planificación propios y garantizarán la adecuada participación, autonomía y libre autodeterminación de las comunidades indígenas.</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2. Los pueblos indígenas serán beneficiarios del incentivo de manera colectiva de acuerdo a los procedimientos que de manera autónoma se establezcan en sus territorios.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La concertación en el marco del PND 2018-2022 sobre el incentivo de PSA servirá de marco para el diseño e implementación de proyectos específicos de PSA en territorios indígenas.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Pr>
          <w:rFonts w:ascii="Georgia" w:hAnsi="Georgia"/>
          <w:b/>
          <w:i/>
          <w:sz w:val="24"/>
          <w:szCs w:val="24"/>
          <w:lang w:val="es-CO"/>
        </w:rPr>
        <w:t>ARTÍCULO 321</w:t>
      </w:r>
      <w:r w:rsidRPr="003A174E">
        <w:rPr>
          <w:rFonts w:ascii="Georgia" w:hAnsi="Georgia"/>
          <w:b/>
          <w:i/>
          <w:sz w:val="24"/>
          <w:szCs w:val="24"/>
          <w:lang w:val="es-CO"/>
        </w:rPr>
        <w:t xml:space="preserve">º. APLICACIÓN DEL INCENTIVO DE PAGO POR SERVICIOS AMBIENTALES - PSA EN CONSEJOS COMUNITARIOS U ORGANIZACIONES DE BASE DE COMUNIDADES NEGRAS, AFROCOLOMBIANAS, RAIZALES Y PALENQUERAS. </w:t>
      </w:r>
      <w:r w:rsidRPr="003A174E">
        <w:rPr>
          <w:rFonts w:ascii="Georgia" w:hAnsi="Georgia"/>
          <w:i/>
          <w:sz w:val="24"/>
          <w:szCs w:val="24"/>
          <w:lang w:val="es-CO"/>
        </w:rPr>
        <w:t>Para el diseño e implementación de proyectos de PSA en sus territorios de que trata el artículo 3 del Decreto Ley 870 de 2017, se aplicará lo establecido por el Decreto 1007 de 2018 y las normas que le modifiquen o complementen, y adicionalmente se tendrá en cuenta las siguientes consideraciones:</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1. Los proyectos de PSA en territorios de comunidades negras, afrodescendientes, raizales y palenqueras serán de carácter voluntario entre las partes, reconocerán las prácticas tradicionales de producción, estarán en armonía con los instrumentos de planificación propios y garantizarán la adecuada participación, autonomía y libre autodeterminación de las comunidades étnicas.</w:t>
      </w:r>
    </w:p>
    <w:p w:rsidR="00EC45FF" w:rsidRPr="003A174E" w:rsidRDefault="00EC45FF" w:rsidP="00EC45FF">
      <w:pPr>
        <w:tabs>
          <w:tab w:val="left" w:pos="1365"/>
        </w:tabs>
        <w:spacing w:afterLines="20" w:after="48" w:line="240" w:lineRule="auto"/>
        <w:jc w:val="both"/>
        <w:rPr>
          <w:rFonts w:ascii="Georgia" w:hAnsi="Georgia"/>
          <w:i/>
          <w:sz w:val="24"/>
          <w:szCs w:val="24"/>
          <w:lang w:val="es-CO"/>
        </w:rPr>
      </w:pPr>
    </w:p>
    <w:p w:rsidR="00EC45FF" w:rsidRPr="003A174E" w:rsidRDefault="00EC45FF" w:rsidP="00EC45FF">
      <w:pPr>
        <w:tabs>
          <w:tab w:val="left" w:pos="1365"/>
        </w:tabs>
        <w:spacing w:afterLines="20" w:after="48" w:line="240" w:lineRule="auto"/>
        <w:jc w:val="both"/>
        <w:rPr>
          <w:rFonts w:ascii="Georgia" w:hAnsi="Georgia"/>
          <w:i/>
          <w:sz w:val="24"/>
          <w:szCs w:val="24"/>
          <w:lang w:val="es-CO"/>
        </w:rPr>
      </w:pPr>
      <w:r w:rsidRPr="003A174E">
        <w:rPr>
          <w:rFonts w:ascii="Georgia" w:hAnsi="Georgia"/>
          <w:i/>
          <w:sz w:val="24"/>
          <w:szCs w:val="24"/>
          <w:lang w:val="es-CO"/>
        </w:rPr>
        <w:t>2. Las comunidades negras, afrocolombianas, raizales y palenqueras serán beneficiarios del incentivo de manera colectiva de acuerdo con los procedimientos que de manera autónoma se establezcan en sus territorios.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3. La consulta previa del presente articulado sobre el incentivo de pago por servicios ambientales servirá de marco para el diseño e implementación de proyectos específicos de pago por servicios ambientales en territorios de las comunidades negras, afrocolombianas, raizales y palenqueras.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eastAsiaTheme="minorEastAsia" w:hAnsi="Georgia"/>
          <w:i/>
          <w:kern w:val="24"/>
          <w:sz w:val="24"/>
          <w:szCs w:val="24"/>
          <w:lang w:val="es-CO" w:eastAsia="es-CO"/>
        </w:rPr>
      </w:pPr>
      <w:r>
        <w:rPr>
          <w:rFonts w:ascii="Georgia" w:eastAsiaTheme="minorEastAsia" w:hAnsi="Georgia"/>
          <w:b/>
          <w:bCs/>
          <w:i/>
          <w:kern w:val="24"/>
          <w:sz w:val="24"/>
          <w:szCs w:val="24"/>
          <w:lang w:val="es-CO" w:eastAsia="es-CO"/>
        </w:rPr>
        <w:t>ARTÍCULO 322</w:t>
      </w:r>
      <w:r w:rsidRPr="003A174E">
        <w:rPr>
          <w:rFonts w:ascii="Georgia" w:eastAsiaTheme="minorEastAsia" w:hAnsi="Georgia"/>
          <w:b/>
          <w:bCs/>
          <w:i/>
          <w:kern w:val="24"/>
          <w:sz w:val="24"/>
          <w:szCs w:val="24"/>
          <w:lang w:val="es-CO" w:eastAsia="es-CO"/>
        </w:rPr>
        <w:t xml:space="preserve">º. ACTUALIZACIÓN DEL VALOR DE LA INVERSIÓN DE NO MENOS DEL 1%, DE COMPETENCIA DE LA AUTORIDAD NACIONAL DE LICENCIAS AMBIENTALES - ANLA. </w:t>
      </w:r>
      <w:r w:rsidRPr="003A174E">
        <w:rPr>
          <w:rFonts w:ascii="Georgia" w:eastAsiaTheme="minorEastAsia" w:hAnsi="Georgia"/>
          <w:i/>
          <w:kern w:val="24"/>
          <w:sz w:val="24"/>
          <w:szCs w:val="24"/>
          <w:lang w:val="es-CO" w:eastAsia="es-CO"/>
        </w:rPr>
        <w:t>Todos aquellos titulares de una licencia ambiental que tengan inversiones pendientes a la fecha de promulgación de la presente Ley, relativas a la inversión forzosa de no menos del 1% de que trata el parágrafo del artículo 43 de la Ley 99 de 1993, podrán acogerse al porcentaje de incremento del valor de la base de liquidación de la inversión forzosa de no menos del 1%, según el año de inicio de actividades autorizadas en la licencia ambiental, de acuerdo con lo señalado en la siguiente tabla:</w:t>
      </w:r>
    </w:p>
    <w:p w:rsidR="00EC45FF" w:rsidRPr="003A174E" w:rsidRDefault="00EC45FF" w:rsidP="00EC45FF">
      <w:pPr>
        <w:spacing w:afterLines="20" w:after="48" w:line="240" w:lineRule="auto"/>
        <w:jc w:val="both"/>
        <w:rPr>
          <w:rFonts w:ascii="Georgia" w:eastAsiaTheme="minorEastAsia" w:hAnsi="Georgia"/>
          <w:i/>
          <w:kern w:val="24"/>
          <w:sz w:val="24"/>
          <w:szCs w:val="24"/>
          <w:lang w:val="es-CO" w:eastAsia="es-CO"/>
        </w:rPr>
      </w:pPr>
    </w:p>
    <w:p w:rsidR="00EC45FF" w:rsidRDefault="00EC45FF" w:rsidP="00EC45FF">
      <w:pPr>
        <w:pStyle w:val="Normal1"/>
        <w:spacing w:after="0" w:line="240" w:lineRule="auto"/>
        <w:jc w:val="both"/>
        <w:rPr>
          <w:rFonts w:ascii="Georgia" w:hAnsi="Georgia"/>
          <w:i/>
          <w:sz w:val="24"/>
          <w:szCs w:val="24"/>
          <w:lang w:val="es-ES_tradnl"/>
        </w:rPr>
      </w:pPr>
    </w:p>
    <w:p w:rsidR="00EC45FF" w:rsidRDefault="00EC45FF" w:rsidP="00EC45FF">
      <w:pPr>
        <w:pStyle w:val="Normal1"/>
        <w:spacing w:after="0" w:line="240" w:lineRule="auto"/>
        <w:jc w:val="both"/>
        <w:rPr>
          <w:rFonts w:ascii="Georgia" w:hAnsi="Georgia"/>
          <w:i/>
          <w:sz w:val="24"/>
          <w:szCs w:val="24"/>
          <w:lang w:val="es-ES_tradnl"/>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663"/>
      </w:tblGrid>
      <w:tr w:rsidR="00EC45FF" w:rsidRPr="003A174E" w:rsidTr="007F0063">
        <w:tc>
          <w:tcPr>
            <w:tcW w:w="3141" w:type="dxa"/>
          </w:tcPr>
          <w:p w:rsidR="00EC45FF" w:rsidRPr="003A174E" w:rsidRDefault="00EC45FF" w:rsidP="007F0063">
            <w:pPr>
              <w:spacing w:afterLines="20" w:after="48"/>
              <w:jc w:val="both"/>
              <w:rPr>
                <w:rFonts w:ascii="Georgia" w:hAnsi="Georgia"/>
                <w:i/>
                <w:sz w:val="20"/>
                <w:szCs w:val="20"/>
                <w:lang w:val="es-CO"/>
              </w:rPr>
            </w:pPr>
            <w:r w:rsidRPr="003A174E">
              <w:rPr>
                <w:rFonts w:ascii="Georgia" w:hAnsi="Georgia"/>
                <w:i/>
                <w:sz w:val="20"/>
                <w:szCs w:val="20"/>
                <w:lang w:val="es-CO"/>
              </w:rPr>
              <w:lastRenderedPageBreak/>
              <w:t>Año de inicio de actividades autorizadas en la Licencia Ambiental</w:t>
            </w:r>
          </w:p>
        </w:tc>
        <w:tc>
          <w:tcPr>
            <w:tcW w:w="3663" w:type="dxa"/>
          </w:tcPr>
          <w:p w:rsidR="00EC45FF" w:rsidRPr="003A174E" w:rsidRDefault="00EC45FF" w:rsidP="007F0063">
            <w:pPr>
              <w:spacing w:afterLines="20" w:after="48"/>
              <w:jc w:val="both"/>
              <w:rPr>
                <w:rFonts w:ascii="Georgia" w:hAnsi="Georgia"/>
                <w:i/>
                <w:sz w:val="20"/>
                <w:szCs w:val="20"/>
                <w:lang w:val="es-CO"/>
              </w:rPr>
            </w:pPr>
            <w:r w:rsidRPr="003A174E">
              <w:rPr>
                <w:rFonts w:ascii="Georgia" w:hAnsi="Georgia"/>
                <w:i/>
                <w:sz w:val="20"/>
                <w:szCs w:val="20"/>
                <w:lang w:val="es-CO"/>
              </w:rPr>
              <w:t>Porcentaje de incremento del valor de la base de liquidación de la inversión forzosa de no menos del 1%</w:t>
            </w:r>
          </w:p>
        </w:tc>
      </w:tr>
      <w:tr w:rsidR="00EC45FF" w:rsidRPr="003A174E" w:rsidTr="007F0063">
        <w:tc>
          <w:tcPr>
            <w:tcW w:w="3141" w:type="dxa"/>
          </w:tcPr>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1993-2000</w:t>
            </w:r>
          </w:p>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2001-2006</w:t>
            </w:r>
          </w:p>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2007-2018</w:t>
            </w:r>
          </w:p>
        </w:tc>
        <w:tc>
          <w:tcPr>
            <w:tcW w:w="3663" w:type="dxa"/>
          </w:tcPr>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45%</w:t>
            </w:r>
          </w:p>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35%</w:t>
            </w:r>
          </w:p>
          <w:p w:rsidR="00EC45FF" w:rsidRPr="003A174E" w:rsidRDefault="00EC45FF" w:rsidP="007F0063">
            <w:pPr>
              <w:spacing w:afterLines="20" w:after="48"/>
              <w:jc w:val="center"/>
              <w:rPr>
                <w:rFonts w:ascii="Georgia" w:hAnsi="Georgia"/>
                <w:i/>
                <w:sz w:val="20"/>
                <w:szCs w:val="20"/>
                <w:lang w:val="es-CO"/>
              </w:rPr>
            </w:pPr>
            <w:r w:rsidRPr="003A174E">
              <w:rPr>
                <w:rFonts w:ascii="Georgia" w:hAnsi="Georgia"/>
                <w:i/>
                <w:sz w:val="20"/>
                <w:szCs w:val="20"/>
                <w:lang w:val="es-CO"/>
              </w:rPr>
              <w:t>10%</w:t>
            </w:r>
          </w:p>
        </w:tc>
      </w:tr>
    </w:tbl>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Las inversiones ejecutadas o que estén en proceso de ejecución en el marco de un plan de inversión del 1% aprobado por la Autoridad Nacional de Licencias Ambientales - ANLA, no serán tenidas en cuenta para efectos del cálculo de la actualización del valor de la base de liquidación de la inversión del 1%.</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acogerse deberán presentar la solicitud dentro de los seis (6) meses siguientes a la promulgación de la presente Ley, junto con: a) el certificado que soporta el cálculo de la base de liquidación, b) el plan de inversión con la base actualizada aplicando el porcentaje de incremento definido en la tabla anterior, c) la proyección financiera para la ejecución del plan de inversión y d) el cronograma del plan de inversión del 1% con inicio de ejecución no superior a los seis (6) meses siguientes de la aprobación de la solicitud de acogimiento.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caso de no ejecutar las inversiones de acuerdo con el cronograma, por un tiempo superior a un año fiscal, deberán actualizar los valores no ejecutados, de acuerdo con la formula señalada en el parágrafo 1 del presente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Para los que se acojan o no al presente artículo y los nuevos titulares de licencia, la liquidación de la inversión se realizará de conformidad con los siguientes ítems: a) adquisición de terrenos e inmuebles, b) obras civiles, c) adquisición y alquiler de maquinaria y equipo utilizado en las obras civiles y d) constitución de servidumbres. Los costos y gastos, incluidos los capitalizados en el activo, a que se refieren los literales anteriores, corresponden a los realizados en las etapas previas a la producción de proyectos, obras o actividades sujetos de licenciamiento ambiental o aquellas modificaciones de proyectos, obras o actividades que tengan como instrumento de control un plan de manejo ambiental, siempre y cuando dicha modificación cumpla con las condiciones establecidas en la reglamentación vigente.</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Para aquellos que no se acojan al presente artículo, deberán presentar la actualización de la base de inversión del 1% de los valores no ejecutados, dentro de los siete (7) meses siguientes a la promulgación de la presente ley, junto con: a) el certificado que soporta la actualización del cálculo de la base de liquidación, b) el plan de inversión con la base actualizada aplicando la fórmula del presente parágrafo, c) la proyección financiera para la ejecución del plan de inversión y d) el cronograma del plan de inversión del 1% con inicio de ejecución no superior a los seis (6) meses siguientes de la aprobación del plan de inversión </w:t>
      </w:r>
      <w:r w:rsidRPr="003A174E">
        <w:rPr>
          <w:rFonts w:ascii="Georgia" w:hAnsi="Georgia"/>
          <w:i/>
          <w:sz w:val="24"/>
          <w:szCs w:val="24"/>
          <w:lang w:val="es-CO"/>
        </w:rPr>
        <w:lastRenderedPageBreak/>
        <w:t>actualizado. El incremento de la actualización de la base de liquidación de la inversión forzosa de no menos del 1%, será calculado así:</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VBL = VIRa *(IPC actual/ IPC inicial), donde,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VBL (Valor de la base de liquidación): es el valor en pesos (COP) de la base de liquidación de la inversión forzosa del 1% certificado de acuerdo con lo señalado en el parágrafo 3 del presente artículo, actualizada al mes de diciembre del año anterior a la fecha de presentación de la actualización.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VIRa (Valor de la inversión realizada para cada año): es el valor en pesos (COP) correspondiente a las inversiones realizadas del proyecto para cada año, durante su ejecución.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IPC actual: corresponde al último valor del IPC a diciembre del año anterior reportado por el DANE, en índice – serie de empalme, con respecto a la fecha de presentación del plan de inversiones actualizado ante la ANLA.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IPC inicial: corresponde al valor del IPC reportado por el DANE, en índice – serie de empalme, para el año en el que se ejecutó la inversión o actividad del proyecto, tomando el que corresponda al mes de diciembre.</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El valor total de la base actualizada de liquidación de la inversión de no menos del 1% será la sumatoria de los VBL de cada año. Las inversiones ejecutadas o que estén en proceso de ejecución en el marco de un plan de inversión del 1% aprobado por la ANLA, no serán tenidas en cuenta para efectos del cálculo de la actualización del valor de la base de liquidación de la inversión del 1%. La actualización del valor de la base de liquidación del 1% deberá ser realizada con corte a 31 de diciembre de cada año fiscal y deberá ser presentada a más tardar a 31 de marzo del año siguiente.  </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Para los titulares de licencias ambientales expedidas a partir del primero de enero de 2019, que no ejecuten las inversiones obligatorias del 1% en los años definidos en el cronograma del plan de inversiones aprobado por la ANLA, deberán actualizar los valores no ejecutados, de acuerdo con la formula señalada en el parágrafo 1 del presente artículo.</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TERCERO.</w:t>
      </w:r>
      <w:r w:rsidRPr="003A174E">
        <w:rPr>
          <w:rFonts w:ascii="Georgia" w:hAnsi="Georgia"/>
          <w:i/>
          <w:sz w:val="24"/>
          <w:szCs w:val="24"/>
          <w:lang w:val="es-CO"/>
        </w:rPr>
        <w:t xml:space="preserve"> El certificado de la base de liquidación será suscrito por el revisor fiscal o contador público, según el caso, o mediante documento equivalente firmado por el representante legal de la empresa, cuyo contenido se presumirá veraz en virtud del principio constitucional de buena fe, sin perjuicio de la posibilidad de ejercer las acciones legales procedentes en caso de falta de veracidad de la información.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323</w:t>
      </w:r>
      <w:r w:rsidRPr="003A174E">
        <w:rPr>
          <w:rFonts w:ascii="Georgia" w:hAnsi="Georgia"/>
          <w:b/>
          <w:i/>
          <w:sz w:val="24"/>
          <w:szCs w:val="24"/>
          <w:lang w:val="es-CO"/>
        </w:rPr>
        <w:t>°. REFORESTACIÓN CON ÁRBOLES NATIVOS.</w:t>
      </w:r>
      <w:r w:rsidRPr="003A174E">
        <w:rPr>
          <w:rFonts w:ascii="Georgia" w:hAnsi="Georgia"/>
          <w:i/>
          <w:sz w:val="24"/>
          <w:szCs w:val="24"/>
          <w:lang w:val="es-CO"/>
        </w:rPr>
        <w:t xml:space="preserve"> Los programas de reforestación propuestos por el Gobierno nacional deberán dar prioridad a la siembra de árboles nativos con esquemas de georreferenciación.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lastRenderedPageBreak/>
        <w:t>ARTÍCULO 324</w:t>
      </w:r>
      <w:r w:rsidRPr="003A174E">
        <w:rPr>
          <w:rFonts w:ascii="Georgia" w:hAnsi="Georgia"/>
          <w:b/>
          <w:i/>
          <w:sz w:val="24"/>
          <w:szCs w:val="24"/>
          <w:lang w:val="es-CO"/>
        </w:rPr>
        <w:t>°. PLAN MAESTRO DE EROSIÓN COSTERA.</w:t>
      </w:r>
      <w:r w:rsidRPr="003A174E">
        <w:rPr>
          <w:rFonts w:ascii="Georgia" w:hAnsi="Georgia"/>
          <w:i/>
          <w:sz w:val="24"/>
          <w:szCs w:val="24"/>
          <w:lang w:val="es-CO"/>
        </w:rPr>
        <w:t xml:space="preserve"> El Gobierno nacional implementará el “Plan Maestro de Erosión Costera” para la recuperación de playas, ecosistemas marinos y de manglares como estrategia de fortalecimiento, fomento y promoción del turismo, que a su vez permita contrarrestar el devastador efecto que produce la erosión costera en el litoral Caribe, litoral Pacífico y en el archipiélago de San Andrés, Providencia y Santa Catalina.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Adicionalmente, se deberán crear estrategias que permitan identificar, cuantificar, priorizar y recuperar los ecosistemas afectados como herramienta de desarrollo ambiental, turístico y económico, además de cumplir con la responsabilidad que en materia ambiental debe tener el estado y sus entidades descentralizadas, fomentando la inclusión del sector privado.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0" w:line="240" w:lineRule="auto"/>
        <w:jc w:val="both"/>
        <w:rPr>
          <w:rFonts w:ascii="Georgia" w:hAnsi="Georgia"/>
          <w:i/>
          <w:sz w:val="24"/>
          <w:szCs w:val="24"/>
        </w:rPr>
      </w:pPr>
      <w:r>
        <w:rPr>
          <w:rFonts w:ascii="Georgia" w:eastAsia="Montserrat" w:hAnsi="Georgia"/>
          <w:b/>
          <w:i/>
          <w:sz w:val="24"/>
          <w:szCs w:val="24"/>
        </w:rPr>
        <w:t>ARTÍCULO 325</w:t>
      </w:r>
      <w:r w:rsidRPr="003A174E">
        <w:rPr>
          <w:rFonts w:ascii="Georgia" w:eastAsia="Montserrat" w:hAnsi="Georgia"/>
          <w:b/>
          <w:i/>
          <w:sz w:val="24"/>
          <w:szCs w:val="24"/>
          <w:lang w:val="es-ES"/>
        </w:rPr>
        <w:t>º</w:t>
      </w:r>
      <w:r w:rsidRPr="003A174E">
        <w:rPr>
          <w:rFonts w:ascii="Georgia" w:eastAsia="Montserrat" w:hAnsi="Georgia"/>
          <w:b/>
          <w:i/>
          <w:sz w:val="24"/>
          <w:szCs w:val="24"/>
        </w:rPr>
        <w:t xml:space="preserve"> </w:t>
      </w:r>
      <w:r w:rsidRPr="003A174E">
        <w:rPr>
          <w:rFonts w:ascii="Georgia" w:eastAsia="Montserrat" w:hAnsi="Georgia"/>
          <w:b/>
          <w:i/>
          <w:sz w:val="24"/>
          <w:szCs w:val="24"/>
          <w:lang w:val="es-ES"/>
        </w:rPr>
        <w:t>(</w:t>
      </w:r>
      <w:r w:rsidRPr="003A174E">
        <w:rPr>
          <w:rFonts w:ascii="Georgia" w:eastAsia="Montserrat" w:hAnsi="Georgia"/>
          <w:b/>
          <w:i/>
          <w:sz w:val="24"/>
          <w:szCs w:val="24"/>
        </w:rPr>
        <w:t>NUEVO</w:t>
      </w:r>
      <w:r w:rsidRPr="003A174E">
        <w:rPr>
          <w:rFonts w:ascii="Georgia" w:eastAsia="Montserrat" w:hAnsi="Georgia"/>
          <w:b/>
          <w:i/>
          <w:sz w:val="24"/>
          <w:szCs w:val="24"/>
          <w:lang w:val="es-ES"/>
        </w:rPr>
        <w:t>)</w:t>
      </w:r>
      <w:r w:rsidRPr="003A174E">
        <w:rPr>
          <w:rFonts w:ascii="Georgia" w:eastAsia="Montserrat" w:hAnsi="Georgia"/>
          <w:b/>
          <w:i/>
          <w:sz w:val="24"/>
          <w:szCs w:val="24"/>
        </w:rPr>
        <w:t>. PROTECCIÓN Y BIENESTAR DE ANIMALES DOMÉSTICOS Y SILVESTRES</w:t>
      </w:r>
      <w:r w:rsidRPr="003A174E">
        <w:rPr>
          <w:rFonts w:ascii="Georgia" w:eastAsia="Montserrat" w:hAnsi="Georgia"/>
          <w:i/>
          <w:sz w:val="24"/>
          <w:szCs w:val="24"/>
        </w:rPr>
        <w:t xml:space="preserve">. El Gobierno nacional formulará la Política Nacional de Protección y Bienestar de Animales Domésticos y Silvestres. Esta política establecerá </w:t>
      </w:r>
      <w:r w:rsidRPr="003A174E">
        <w:rPr>
          <w:rFonts w:ascii="Georgia" w:hAnsi="Georgia"/>
          <w:i/>
          <w:sz w:val="24"/>
          <w:szCs w:val="24"/>
        </w:rPr>
        <w:t xml:space="preserve">lineamientos en materia de bienestar de animales de granja; animales en situación de calle; animales maltratados; especies silvestres objeto de tráfico ilegal; entre otros, y definirá estrategias, programas y propuestas de normatividad para la protección animal, tales como la formación en tenencia responsable; las campañas de esterilización; la creación de centros territoriales de bienestar, la rehabilitación y asistencia integral de fauna doméstica y silvestre; la sustitución progresiva de vehículos de tracción animal; y el fortalecimiento de la investigación y procesamiento de los delitos contra los animales, con el fin de erradicar en el país toda forma de violencia, crueldad, tráfico y comercio ilegal de animales. </w:t>
      </w:r>
    </w:p>
    <w:p w:rsidR="00EC45FF" w:rsidRPr="003A174E" w:rsidRDefault="00EC45FF" w:rsidP="00EC45FF">
      <w:pPr>
        <w:spacing w:after="0" w:line="240" w:lineRule="auto"/>
        <w:jc w:val="both"/>
        <w:rPr>
          <w:rFonts w:ascii="Georgia" w:hAnsi="Georgia"/>
          <w:i/>
          <w:sz w:val="24"/>
          <w:szCs w:val="24"/>
        </w:rPr>
      </w:pPr>
    </w:p>
    <w:p w:rsidR="00EC45FF" w:rsidRPr="003A174E" w:rsidRDefault="00EC45FF" w:rsidP="00EC45FF">
      <w:pPr>
        <w:spacing w:after="0" w:line="240" w:lineRule="auto"/>
        <w:jc w:val="both"/>
        <w:rPr>
          <w:rFonts w:ascii="Georgia" w:eastAsia="Montserrat" w:hAnsi="Georgia"/>
          <w:i/>
          <w:sz w:val="24"/>
          <w:szCs w:val="24"/>
        </w:rPr>
      </w:pPr>
      <w:r w:rsidRPr="003A174E">
        <w:rPr>
          <w:rFonts w:ascii="Georgia" w:eastAsia="Montserrat" w:hAnsi="Georgia"/>
          <w:i/>
          <w:sz w:val="24"/>
          <w:szCs w:val="24"/>
        </w:rPr>
        <w:t xml:space="preserve">En el marco de esta política se definirá un mecanismo de coordinación interinstitucional para su efectiva implementación y seguimiento y, de acuerdo con las necesidades institucionales identificadas en el diagnóstico, podrá preverse la creación de un instituto nacional de bienestar animal. </w:t>
      </w:r>
    </w:p>
    <w:p w:rsidR="00EC45FF" w:rsidRPr="003A174E" w:rsidRDefault="00EC45FF" w:rsidP="00EC45FF">
      <w:pPr>
        <w:spacing w:after="0" w:line="240" w:lineRule="auto"/>
        <w:jc w:val="both"/>
        <w:rPr>
          <w:rFonts w:ascii="Georgia" w:eastAsia="Montserrat" w:hAnsi="Georgia"/>
          <w:i/>
          <w:sz w:val="24"/>
          <w:szCs w:val="24"/>
        </w:rPr>
      </w:pP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SUBSECCIÓN 9</w:t>
      </w:r>
    </w:p>
    <w:p w:rsidR="00EC45FF" w:rsidRPr="003A174E" w:rsidRDefault="00EC45FF" w:rsidP="00EC45FF">
      <w:pPr>
        <w:pStyle w:val="Default"/>
        <w:spacing w:afterLines="20" w:after="48"/>
        <w:jc w:val="center"/>
        <w:rPr>
          <w:rFonts w:ascii="Georgia" w:hAnsi="Georgia" w:cs="Arial"/>
          <w:b/>
          <w:i/>
          <w:color w:val="auto"/>
          <w:lang w:val="es-CO"/>
        </w:rPr>
      </w:pPr>
      <w:r w:rsidRPr="003A174E">
        <w:rPr>
          <w:rFonts w:ascii="Georgia" w:hAnsi="Georgia" w:cs="Arial"/>
          <w:b/>
          <w:i/>
          <w:color w:val="auto"/>
          <w:lang w:val="es-CO"/>
        </w:rPr>
        <w:t>EQUIDAD EN MATERIA MINERA</w:t>
      </w:r>
    </w:p>
    <w:p w:rsidR="00EC45FF" w:rsidRPr="003A174E" w:rsidRDefault="00EC45FF" w:rsidP="00EC45FF">
      <w:pPr>
        <w:pStyle w:val="Default"/>
        <w:spacing w:afterLines="20" w:after="48"/>
        <w:jc w:val="center"/>
        <w:rPr>
          <w:rFonts w:ascii="Georgia" w:hAnsi="Georgia" w:cs="Arial"/>
          <w:b/>
          <w:i/>
          <w:color w:val="auto"/>
          <w:lang w:val="es-CO"/>
        </w:rPr>
      </w:pP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r>
        <w:rPr>
          <w:rFonts w:ascii="Georgia" w:eastAsiaTheme="minorEastAsia" w:hAnsi="Georgia" w:cs="Arial"/>
          <w:b/>
          <w:bCs/>
          <w:i/>
          <w:kern w:val="24"/>
        </w:rPr>
        <w:t>ARTÍCULO 326</w:t>
      </w:r>
      <w:r w:rsidRPr="003A174E">
        <w:rPr>
          <w:rFonts w:ascii="Georgia" w:eastAsiaTheme="minorEastAsia" w:hAnsi="Georgia" w:cs="Arial"/>
          <w:b/>
          <w:bCs/>
          <w:i/>
          <w:kern w:val="24"/>
        </w:rPr>
        <w:t>º. TRÁMITE SOLICITUDES DE FORMALIZACIÓN DE MINERÍA TRADICIONAL.</w:t>
      </w:r>
      <w:r w:rsidRPr="003A174E">
        <w:rPr>
          <w:rFonts w:ascii="Georgia" w:eastAsiaTheme="minorEastAsia" w:hAnsi="Georgia" w:cs="Arial"/>
          <w:i/>
          <w:kern w:val="24"/>
        </w:rPr>
        <w:t xml:space="preserve"> Las personas naturales, grupos o asociaciones que presentaron solicitud de formalización de minería tradicional hasta el 10 de mayo de 2013 ante la autoridad minera competente  y que a la fecha de promulgación de esta ley se encuentran vigentes y en área libre, continuarán su trámite con el fin de verificar la viabilidad técnica del desarrollo del proyecto minero de pequeña minería. Si la solicitud no se encuentra en área libre esta se rechazará salvo lo dispuesto en el inciso tercero del presente artículo. En caso que la superposición sea parcial se procederá a los reportes respectivos. La autoridad minera resolverá estas solicitudes en el término de un (1) año contado a partir de la viabilidad técnica de la solicitud. </w:t>
      </w:r>
    </w:p>
    <w:p w:rsidR="00EC45FF" w:rsidRPr="003A174E" w:rsidRDefault="00EC45FF" w:rsidP="00EC45FF">
      <w:pPr>
        <w:pStyle w:val="NormalWeb"/>
        <w:spacing w:before="0" w:beforeAutospacing="0" w:afterLines="20" w:after="48" w:afterAutospacing="0"/>
        <w:jc w:val="both"/>
        <w:rPr>
          <w:rFonts w:ascii="Georgia" w:hAnsi="Georgia" w:cs="Arial"/>
          <w:i/>
        </w:rPr>
      </w:pP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r w:rsidRPr="003A174E">
        <w:rPr>
          <w:rFonts w:ascii="Georgia" w:eastAsiaTheme="minorEastAsia" w:hAnsi="Georgia" w:cs="Arial"/>
          <w:i/>
          <w:kern w:val="24"/>
        </w:rPr>
        <w:t xml:space="preserve">Una vez verificada la viabilidad de la solicitud, la autoridad minera requerirá al solicitante para que presente en un plazo máximo de cuatro (4) meses el programa de Trabajos y Obras – PTO a ejecutar y la licencia ambiental temporal para la formalización en los términos del artículo 18 de esta Ley, so pena de entender desistido el trámite de formalización. En caso de que se formulen objeciones al PTO y estas no sean subsanadas se procederá al rechazo de la solicitud. Una vez aprobado el PTO y el Plan Manejo Ambiental – PMA o licencia ambiental temporal se procederá con la suscripción del contrato de concesión. </w:t>
      </w: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p>
    <w:p w:rsidR="00EC45FF" w:rsidRPr="003A174E" w:rsidRDefault="00EC45FF" w:rsidP="00EC45FF">
      <w:pPr>
        <w:pStyle w:val="NormalWeb"/>
        <w:spacing w:before="0" w:beforeAutospacing="0" w:afterLines="20" w:after="48" w:afterAutospacing="0"/>
        <w:jc w:val="both"/>
        <w:rPr>
          <w:rFonts w:ascii="Georgia" w:hAnsi="Georgia" w:cs="Arial"/>
          <w:i/>
        </w:rPr>
      </w:pPr>
      <w:r w:rsidRPr="003A174E">
        <w:rPr>
          <w:rFonts w:ascii="Georgia" w:eastAsiaTheme="minorEastAsia" w:hAnsi="Georgia" w:cs="Arial"/>
          <w:i/>
          <w:kern w:val="24"/>
        </w:rPr>
        <w:t xml:space="preserve">En el evento en que las solicitudes de formalización de minería tradicional se hayan presentado en un área ocupada totalmente por un título minero y se encuentre vigente a la fecha de promulgación de la presente Ley, la autoridad minera procederá a realizar un proceso de mediación entre las partes. De negarse el titular minero a la mediación o de no lograrse un acuerdo entre las partes, se procederá por parte de la autoridad minera al rechazo de la solicitud de formalización.  </w:t>
      </w: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p>
    <w:p w:rsidR="00EC45FF" w:rsidRPr="003A174E" w:rsidRDefault="00EC45FF" w:rsidP="00EC45FF">
      <w:pPr>
        <w:pStyle w:val="NormalWeb"/>
        <w:spacing w:before="0" w:beforeAutospacing="0" w:afterLines="20" w:after="48" w:afterAutospacing="0"/>
        <w:jc w:val="both"/>
        <w:rPr>
          <w:rFonts w:ascii="Georgia" w:eastAsiaTheme="minorEastAsia" w:hAnsi="Georgia" w:cs="Arial"/>
          <w:i/>
          <w:kern w:val="24"/>
        </w:rPr>
      </w:pPr>
      <w:r w:rsidRPr="003A174E">
        <w:rPr>
          <w:rFonts w:ascii="Georgia" w:eastAsiaTheme="minorEastAsia" w:hAnsi="Georgia" w:cs="Arial"/>
          <w:i/>
          <w:kern w:val="24"/>
        </w:rPr>
        <w:t>A partir de la promulgación de esta Ley y mientras no se resuelva de fondo el trámite de la solicitud de formalización de minería tradicional no habrá lugar a la aplicación de las medidas previstas en los artículos 161 y 306 de la Ley 685 de 2001, ni a proseguir las acciones penales señaladas en los artículos 159 y 160 de esta misma ley, sin perjuicio de la aplicación de las medidas preventivas y sancionatorias de carácter ambiental, así como las relacionadas con la seguridad minera.</w:t>
      </w:r>
    </w:p>
    <w:p w:rsidR="00EC45FF" w:rsidRPr="003A174E" w:rsidRDefault="00EC45FF" w:rsidP="00EC45FF">
      <w:pPr>
        <w:pStyle w:val="NormalWeb"/>
        <w:spacing w:before="0" w:beforeAutospacing="0" w:afterLines="20" w:after="48" w:afterAutospacing="0"/>
        <w:jc w:val="both"/>
        <w:rPr>
          <w:rFonts w:ascii="Georgia" w:hAnsi="Georgia" w:cs="Arial"/>
          <w:i/>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327</w:t>
      </w:r>
      <w:r w:rsidRPr="003A174E">
        <w:rPr>
          <w:rFonts w:ascii="Georgia" w:hAnsi="Georgia"/>
          <w:b/>
          <w:bCs/>
          <w:i/>
          <w:sz w:val="24"/>
          <w:szCs w:val="24"/>
          <w:lang w:val="es-CO"/>
        </w:rPr>
        <w:t>º. REQUISITOS DIFERENCIALES PARA CONTRATO DE CONCESIÓN MINERA.</w:t>
      </w:r>
      <w:r w:rsidRPr="003A174E">
        <w:rPr>
          <w:rFonts w:ascii="Georgia" w:hAnsi="Georgia"/>
          <w:i/>
          <w:sz w:val="24"/>
          <w:szCs w:val="24"/>
          <w:lang w:val="es-CO"/>
        </w:rPr>
        <w:t xml:space="preserve"> El Gobierno nacional definirá los requisitos diferenciales para el otorgamiento del contrato de concesión a los mineros de pequeña escala, beneficiarios de devolución de área y comunidades étnicas. Así mismo, el Ministerio de Ambiente y Desarrollo Sostenible establecerá los términos de referencia diferenciales para la elaboración del estudio de impacto ambiental requerido para el licenciamiento ambiental a estos proyectos mineros.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mineros de pequeña escala, los beneficiarios de devolución de áreas y las comunidades étnicas una vez suscriban el contrato de concesión minera, contarán con un acompañamiento técnico integral y serán objeto de fiscalización diferencial.</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En los contratos de concesión de comunidades étnicas en zonas mineras declaradas, el canon superficiario se pagará anualmente de manera anticipada, sobre la totalidad del área de la concesión y de acuerdo con los siguientes valores, siempre y cuando la actividad sea desarrollada por la misma comunidad.</w:t>
      </w:r>
    </w:p>
    <w:p w:rsidR="00EC45FF" w:rsidRPr="003A174E" w:rsidRDefault="00EC45FF" w:rsidP="00EC45FF">
      <w:pPr>
        <w:spacing w:afterLines="20" w:after="48" w:line="240" w:lineRule="auto"/>
        <w:jc w:val="both"/>
        <w:rPr>
          <w:rFonts w:ascii="Georgia" w:hAnsi="Georgia"/>
          <w:i/>
          <w:sz w:val="24"/>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371"/>
      </w:tblGrid>
      <w:tr w:rsidR="00EC45FF" w:rsidRPr="003A174E" w:rsidTr="007F0063">
        <w:trPr>
          <w:jc w:val="center"/>
        </w:trPr>
        <w:tc>
          <w:tcPr>
            <w:tcW w:w="4426"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NÚMERO DE HECTÁREAS</w:t>
            </w:r>
          </w:p>
        </w:tc>
        <w:tc>
          <w:tcPr>
            <w:tcW w:w="3371"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SMDLV/h*</w:t>
            </w:r>
          </w:p>
        </w:tc>
      </w:tr>
      <w:tr w:rsidR="00EC45FF" w:rsidRPr="003A174E" w:rsidTr="007F0063">
        <w:trPr>
          <w:jc w:val="center"/>
        </w:trPr>
        <w:tc>
          <w:tcPr>
            <w:tcW w:w="4426"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0 - 150</w:t>
            </w:r>
          </w:p>
        </w:tc>
        <w:tc>
          <w:tcPr>
            <w:tcW w:w="3371"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O.125</w:t>
            </w:r>
          </w:p>
        </w:tc>
      </w:tr>
      <w:tr w:rsidR="00EC45FF" w:rsidRPr="003A174E" w:rsidTr="007F0063">
        <w:trPr>
          <w:jc w:val="center"/>
        </w:trPr>
        <w:tc>
          <w:tcPr>
            <w:tcW w:w="4426"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lastRenderedPageBreak/>
              <w:t>151 – 5.000</w:t>
            </w:r>
          </w:p>
        </w:tc>
        <w:tc>
          <w:tcPr>
            <w:tcW w:w="3371"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0.19</w:t>
            </w:r>
          </w:p>
        </w:tc>
      </w:tr>
      <w:tr w:rsidR="00EC45FF" w:rsidRPr="003A174E" w:rsidTr="007F0063">
        <w:trPr>
          <w:jc w:val="center"/>
        </w:trPr>
        <w:tc>
          <w:tcPr>
            <w:tcW w:w="4426"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5.001 – 10.000</w:t>
            </w:r>
          </w:p>
        </w:tc>
        <w:tc>
          <w:tcPr>
            <w:tcW w:w="3371" w:type="dxa"/>
            <w:vAlign w:val="center"/>
          </w:tcPr>
          <w:p w:rsidR="00EC45FF" w:rsidRPr="003A174E" w:rsidRDefault="00EC45FF" w:rsidP="007F0063">
            <w:pPr>
              <w:spacing w:afterLines="20" w:after="48" w:line="240" w:lineRule="auto"/>
              <w:jc w:val="center"/>
              <w:rPr>
                <w:rFonts w:ascii="Georgia" w:hAnsi="Georgia"/>
                <w:i/>
                <w:sz w:val="24"/>
                <w:szCs w:val="24"/>
                <w:lang w:val="es-CO"/>
              </w:rPr>
            </w:pPr>
            <w:r w:rsidRPr="003A174E">
              <w:rPr>
                <w:rFonts w:ascii="Georgia" w:hAnsi="Georgia"/>
                <w:i/>
                <w:sz w:val="24"/>
                <w:szCs w:val="24"/>
                <w:lang w:val="es-CO"/>
              </w:rPr>
              <w:t>0.25</w:t>
            </w:r>
          </w:p>
        </w:tc>
      </w:tr>
    </w:tbl>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328</w:t>
      </w:r>
      <w:r w:rsidRPr="003A174E">
        <w:rPr>
          <w:rFonts w:ascii="Georgia" w:hAnsi="Georgia"/>
          <w:b/>
          <w:bCs/>
          <w:i/>
          <w:sz w:val="24"/>
          <w:szCs w:val="24"/>
          <w:lang w:val="es-CO"/>
        </w:rPr>
        <w:t xml:space="preserve">º. MINERÍA DE SUBSISTENCIA. </w:t>
      </w:r>
      <w:r w:rsidRPr="003A174E">
        <w:rPr>
          <w:rFonts w:ascii="Georgia" w:hAnsi="Georgia"/>
          <w:i/>
          <w:sz w:val="24"/>
          <w:szCs w:val="24"/>
          <w:lang w:val="es-CO"/>
        </w:rPr>
        <w:t xml:space="preserve">Los mineros de subsistencia, definidos por el Gobierno nacional, sólo requerirán para el desarrollo de su actividad la inscripción personal y gratuita ante la alcaldía del municipio donde realizan la actividad y de efectuarse en terrenos de propiedad privada deberá obtener la autorización del propietario. El Municipio donde se realiza la actividad minera podrá mediar en la obtención de dicha autorización. En la minería de subsistencia se entienden incluidas las labores de barequeo.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minería de subsistencia no puede desarrollarse en áreas objeto de título mineros vigentes, salvo que medie autorización del titular minero, y no comprende la realización de actividades subterráneas ni puede exceder los volúmenes de producción señalados por el Ministerio de Minas y Energía. Para el ejercicio de esta actividad los mineros deberán cumplir con las restricciones establecidas en los artículos 157 y 158 de la Ley 685 de 2001.</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Los municipios deberán implementar la validación biométrica en el Sistema Automatizado de Identificación Dactilar de la Registraduría Nacional del Estado Civil, con el fin de verificar la plena identidad de los mineros de subsistencia al momento de la inscripción.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 xml:space="preserve">La inscripción  deberá realizarse con el cumplimiento de los siguientes requisitos: i) Presentación de la cédula de ciudadanía; ii) Registro Único Tributario con indicación específica de la actividad económica relacionada con la actividad minera, iii) Certificado de afiliación a SISBÉN, o el documento que haga sus veces; iv) Indicación del mineral objeto de explotación; v) Descripción de la actividad y la indicación de la zona donde se va a realizar (municipio, corregimiento, caserío, vereda, río).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Estos mineros no podrán estar inscritos en más de un municipio a la vez, en cuya jurisdicción deberán realizar la actividad. La inscripción deberá ser renovada anualmente de manera personal, y la información podrá ser actualizada por los mineros en cualquier tiempo, en caso de efectuarse un cambio en la ejecución de la actividad. Los mineros que se encuentren inscritos contarán con el término de seis (6) meses para renovar su inscripción con el cumplimiento de los requisitos antes establecidos.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inscripción de los mineros de subsistencia deberá realizarse por los municipios en el sistema de información que para el efecto disponga el Ministerio de Minas y Energía.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 xml:space="preserve">Los alcaldes vigilarán el cumplimiento de lo dispuesto en este artículo e impondrán las medidas a que haya lugar, sin perjuicio de las medidas preventivas y sancionatorias que imponga la autoridad ambiental para la prevención o por la comisión de un daño ambiental de acuerdo con lo dispuesto en la Ley 1333 de 2009, o la norma que la modifique, adicione o sustituya.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El alcalde se abstendrá de inscribir o cancelará la inscripción del minero de subsistencia en los siguientes eventos: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 Si la actividad se realiza en zonas excluidas o prohibidas de las actividades mineras;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b) Si la actividad no se realiza con las restricciones establecidas en los artículos 157 y 158 de la Ley 685 de 2001.</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c) Si la actividad se realiza en un lugar diferente al señalado en la inscripción;</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d) Cuando exceda los volúmenes de producción señalados por el Ministerio de Minas y Energía o la autoridad competente;</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e) Cuando utilice maquinaria, equipos mecanizados o explosivos para el arranque de los minerales;</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 Si las actividades se realizan de manera subterránea;</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g) Cuando extraiga un mineral diferente al establecido en la inscripción.</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Al minero de subsistencia que se le cancele la inscripción no podrá inscribirse ante cualquier municipio por un término de seis (6) meses. De no cumplirse con los requisitos exigidos en este artículo para el desarrollo de la minería de subsistencia, los mineros se considerarán explotadores ilícitos de yacimientos mineros en los términos del Código Penal Colombiano o la norma que lo modifique o sustituya.</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xml:space="preserve"> La autoridad minera brindará las herramientas de actualización de la plataforma de inscripción de mineros de subsistencia, con las necesidades de información que requieran los municipios para llevar a cabo las labores de inscripción conociendo las restricciones en tiempo real.</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SEGUNDO.</w:t>
      </w:r>
      <w:r w:rsidRPr="003A174E">
        <w:rPr>
          <w:rFonts w:ascii="Georgia" w:hAnsi="Georgia"/>
          <w:i/>
          <w:sz w:val="24"/>
          <w:szCs w:val="24"/>
          <w:lang w:val="es-CO"/>
        </w:rPr>
        <w:t xml:space="preserve"> En las zonas de minería de subsistencia, la DIAN implementará, en coordinación con las autoridades territoriales, campañas para agilizar el registro del RUT para los explotadores mineros.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329</w:t>
      </w:r>
      <w:r w:rsidRPr="003A174E">
        <w:rPr>
          <w:rFonts w:ascii="Georgia" w:hAnsi="Georgia"/>
          <w:b/>
          <w:bCs/>
          <w:i/>
          <w:sz w:val="24"/>
          <w:szCs w:val="24"/>
          <w:lang w:val="es-CO"/>
        </w:rPr>
        <w:t xml:space="preserve">º. ESTÁNDAR COLOMBIANO PARA EL REPORTE PÚBLICO DE RESULTADOS DE EXPLORACIÓN, RECURSOS Y RESERVAS MINERALES. </w:t>
      </w:r>
      <w:r w:rsidRPr="003A174E">
        <w:rPr>
          <w:rFonts w:ascii="Georgia" w:hAnsi="Georgia"/>
          <w:i/>
          <w:sz w:val="24"/>
          <w:szCs w:val="24"/>
          <w:lang w:val="es-CO"/>
        </w:rPr>
        <w:t xml:space="preserve">Con ocasión de las actividades de exploración y explotación minera, para la presentación de la información de los recursos y reservas existentes en el área concesionada, se adopta el Estándar Colombiano para el Reporte Público de Resultados de Exploración, Recursos y Reservas Minerales de la Comisión Colombiana de Recursos y Reservas Minerales, o cualquier otro estándar internacionalmente reconocido por Committe for Mineral </w:t>
      </w:r>
      <w:r w:rsidRPr="003A174E">
        <w:rPr>
          <w:rFonts w:ascii="Georgia" w:hAnsi="Georgia"/>
          <w:i/>
          <w:sz w:val="24"/>
          <w:szCs w:val="24"/>
          <w:lang w:val="es-CO"/>
        </w:rPr>
        <w:lastRenderedPageBreak/>
        <w:t xml:space="preserve">Reserves International Reporting Standards – CRIRSCO, para su presentación. La información sobre los recursos y reservas existentes en el área concesionada estructurada en las condiciones previstas en el mencionado estándar, debe presentarse por el titular minero junto con el Programa de Trabajos y Obras o el documento técnico correspondiente o su actualización, sin perjuicio de que dicha información pueda ser requerida por la autoridad minera en cualquier momento durante la etapa de explotación.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autoridad minera expedirá los términos de referencia que establezcan, entre otros aspectos, condiciones y periodicidad para la presentación de la información de que trata el presente artículo, y su incumplimiento dará lugar a las multas previstas en el artículo 115 del Código de Minas o la norma que lo modifique o sustituya. La información suministrada por los titulares mineros será divulgada y usada por parte de la autoridad minera, en los términos del artículo 88 del Código de Minas o la norma que lo modifique o sustituya.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b/>
          <w:bCs/>
          <w:i/>
          <w:sz w:val="24"/>
          <w:szCs w:val="24"/>
          <w:lang w:val="es-CO"/>
        </w:rPr>
      </w:pPr>
      <w:r>
        <w:rPr>
          <w:rFonts w:ascii="Georgia" w:hAnsi="Georgia"/>
          <w:b/>
          <w:bCs/>
          <w:i/>
          <w:sz w:val="24"/>
          <w:szCs w:val="24"/>
          <w:lang w:val="es-CO"/>
        </w:rPr>
        <w:t>ARTÍCULO 330</w:t>
      </w:r>
      <w:r w:rsidRPr="003A174E">
        <w:rPr>
          <w:rFonts w:ascii="Georgia" w:hAnsi="Georgia"/>
          <w:b/>
          <w:bCs/>
          <w:i/>
          <w:sz w:val="24"/>
          <w:szCs w:val="24"/>
          <w:lang w:val="es-CO"/>
        </w:rPr>
        <w:t>º.</w:t>
      </w:r>
      <w:r w:rsidRPr="003A174E">
        <w:rPr>
          <w:rFonts w:ascii="Georgia" w:hAnsi="Georgia"/>
          <w:i/>
          <w:sz w:val="24"/>
          <w:szCs w:val="24"/>
          <w:lang w:val="es-CO"/>
        </w:rPr>
        <w:t xml:space="preserve"> </w:t>
      </w:r>
      <w:r w:rsidRPr="003A174E">
        <w:rPr>
          <w:rFonts w:ascii="Georgia" w:hAnsi="Georgia"/>
          <w:b/>
          <w:bCs/>
          <w:i/>
          <w:sz w:val="24"/>
          <w:szCs w:val="24"/>
          <w:lang w:val="es-CO"/>
        </w:rPr>
        <w:t>INTEGRACIÓN DE ÁREAS.</w:t>
      </w:r>
      <w:r w:rsidRPr="003A174E">
        <w:rPr>
          <w:rFonts w:ascii="Georgia" w:hAnsi="Georgia"/>
          <w:i/>
          <w:sz w:val="24"/>
          <w:szCs w:val="24"/>
          <w:lang w:val="es-CO"/>
        </w:rPr>
        <w:t xml:space="preserve"> Adiciónese el parágrafo segundo al artículo 101 de la Ley 685 de 2001, así</w:t>
      </w:r>
      <w:r w:rsidRPr="003A174E">
        <w:rPr>
          <w:rFonts w:ascii="Georgia" w:hAnsi="Georgia"/>
          <w:b/>
          <w:bCs/>
          <w:i/>
          <w:sz w:val="24"/>
          <w:szCs w:val="24"/>
          <w:lang w:val="es-CO"/>
        </w:rPr>
        <w:t>:</w:t>
      </w:r>
    </w:p>
    <w:p w:rsidR="00EC45FF" w:rsidRPr="003A174E" w:rsidRDefault="00EC45FF" w:rsidP="00EC45FF">
      <w:pPr>
        <w:spacing w:afterLines="20" w:after="48" w:line="240" w:lineRule="auto"/>
        <w:jc w:val="both"/>
        <w:rPr>
          <w:rFonts w:ascii="Georgia" w:hAnsi="Georgia"/>
          <w:b/>
          <w:bCs/>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bCs/>
          <w:i/>
          <w:sz w:val="24"/>
          <w:szCs w:val="24"/>
          <w:lang w:val="es-CO"/>
        </w:rPr>
        <w:t>PARÁGRAFO 2.</w:t>
      </w:r>
      <w:r w:rsidRPr="003A174E">
        <w:rPr>
          <w:rFonts w:ascii="Georgia" w:hAnsi="Georgia"/>
          <w:bCs/>
          <w:i/>
          <w:sz w:val="24"/>
          <w:szCs w:val="24"/>
          <w:lang w:val="es-CO"/>
        </w:rPr>
        <w:t xml:space="preserve"> </w:t>
      </w:r>
      <w:r w:rsidRPr="003A174E">
        <w:rPr>
          <w:rFonts w:ascii="Georgia" w:hAnsi="Georgia"/>
          <w:i/>
          <w:sz w:val="24"/>
          <w:szCs w:val="24"/>
          <w:lang w:val="es-CO"/>
        </w:rPr>
        <w:t xml:space="preserve">En el evento en que una solicitud de integración de áreas o un trámite de integración ya iniciado o un título ya integrado, presente franjas o corredores respecto de los cuales se hubieren presentado propuestas de contrato de concesión y éstas no resulten viables para la realización de un proyecto minero, la autoridad minera procederá a su rechazo. En este evento, las respectivas franjas o corredores se incorporarán al contrato que resulte de la integración de áreas o a los contratos otorgados antes de la vigencia de esta ley en virtud de una integración de áreas. En todo caso, la integración de áreas y las incorporaciones de corredores se realizarán de acuerdo con la metodología del sistema de cuadrículas.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La autoridad minera nacional definirá el área mínima para las franjas o corredores donde no es viable realizar un proyecto minero de acuerdo con las dimensiones adoptadas por el sistema de cuadrícula para las celdas mineras.</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bCs/>
          <w:i/>
          <w:sz w:val="24"/>
          <w:szCs w:val="24"/>
          <w:lang w:val="es-CO"/>
        </w:rPr>
        <w:t>ARTÍCULO 331</w:t>
      </w:r>
      <w:r w:rsidRPr="003A174E">
        <w:rPr>
          <w:rFonts w:ascii="Georgia" w:hAnsi="Georgia"/>
          <w:b/>
          <w:bCs/>
          <w:i/>
          <w:sz w:val="24"/>
          <w:szCs w:val="24"/>
          <w:lang w:val="es-CO"/>
        </w:rPr>
        <w:t xml:space="preserve">º. MONTO DE LAS REGALÍAS PARA RECONOCIMIENTOS DE PROPIEDAD PRIVADA. </w:t>
      </w:r>
      <w:r w:rsidRPr="003A174E">
        <w:rPr>
          <w:rFonts w:ascii="Georgia" w:hAnsi="Georgia"/>
          <w:i/>
          <w:sz w:val="24"/>
          <w:szCs w:val="24"/>
          <w:lang w:val="es-CO"/>
        </w:rPr>
        <w:t>Establézcanse como regalía, por la explotación de recursos naturales no renovables de propiedad privada, sobre el valor de la producción en boca o borde de mina, los siguientes porcentajes:</w:t>
      </w:r>
    </w:p>
    <w:p w:rsidR="00EC45FF" w:rsidRPr="003A174E" w:rsidRDefault="00EC45FF" w:rsidP="00EC45FF">
      <w:pPr>
        <w:spacing w:afterLines="20" w:after="48" w:line="240" w:lineRule="auto"/>
        <w:jc w:val="both"/>
        <w:rPr>
          <w:rFonts w:ascii="Georgia" w:hAnsi="Georgia"/>
          <w:i/>
          <w:sz w:val="24"/>
          <w:szCs w:val="24"/>
          <w:lang w:val="es-CO"/>
        </w:rPr>
      </w:pPr>
    </w:p>
    <w:tbl>
      <w:tblPr>
        <w:tblW w:w="0" w:type="auto"/>
        <w:jc w:val="center"/>
        <w:tblCellMar>
          <w:left w:w="0" w:type="dxa"/>
          <w:right w:w="0" w:type="dxa"/>
        </w:tblCellMar>
        <w:tblLook w:val="04A0" w:firstRow="1" w:lastRow="0" w:firstColumn="1" w:lastColumn="0" w:noHBand="0" w:noVBand="1"/>
      </w:tblPr>
      <w:tblGrid>
        <w:gridCol w:w="2597"/>
        <w:gridCol w:w="1736"/>
      </w:tblGrid>
      <w:tr w:rsidR="00EC45FF" w:rsidRPr="003A174E" w:rsidTr="007F0063">
        <w:trPr>
          <w:jc w:val="center"/>
        </w:trPr>
        <w:tc>
          <w:tcPr>
            <w:tcW w:w="2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b/>
                <w:bCs/>
                <w:i/>
                <w:sz w:val="20"/>
                <w:szCs w:val="20"/>
                <w:lang w:val="es-CO"/>
              </w:rPr>
              <w:t>Mineral y Tipo de Minería</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b/>
                <w:bCs/>
                <w:i/>
                <w:sz w:val="20"/>
                <w:szCs w:val="20"/>
                <w:lang w:val="es-CO"/>
              </w:rPr>
              <w:t>Regalía</w:t>
            </w:r>
          </w:p>
        </w:tc>
      </w:tr>
      <w:tr w:rsidR="00EC45FF" w:rsidRPr="003A174E" w:rsidTr="007F0063">
        <w:trPr>
          <w:jc w:val="center"/>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eastAsia="Times New Roman" w:hAnsi="Georgia"/>
                <w:i/>
                <w:sz w:val="20"/>
                <w:szCs w:val="20"/>
                <w:lang w:val="es-CO" w:eastAsia="es-CO"/>
              </w:rPr>
            </w:pPr>
            <w:r w:rsidRPr="003A174E">
              <w:rPr>
                <w:rFonts w:ascii="Georgia" w:eastAsia="+mn-ea" w:hAnsi="Georgia"/>
                <w:bCs/>
                <w:i/>
                <w:kern w:val="24"/>
                <w:sz w:val="20"/>
                <w:szCs w:val="20"/>
                <w:lang w:val="es-CO" w:eastAsia="es-CO"/>
              </w:rPr>
              <w:t>Carbón a cielo abierto con producción igual o mayor a 3 millones de toneladas</w:t>
            </w:r>
          </w:p>
          <w:p w:rsidR="00EC45FF" w:rsidRPr="003A174E" w:rsidRDefault="00EC45FF" w:rsidP="007F0063">
            <w:pPr>
              <w:spacing w:afterLines="20" w:after="48" w:line="240" w:lineRule="auto"/>
              <w:jc w:val="center"/>
              <w:rPr>
                <w:rFonts w:ascii="Georgia" w:hAnsi="Georgia"/>
                <w:i/>
                <w:sz w:val="20"/>
                <w:szCs w:val="20"/>
                <w:lang w:val="es-CO"/>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5,0%</w:t>
            </w:r>
          </w:p>
        </w:tc>
      </w:tr>
      <w:tr w:rsidR="00EC45FF" w:rsidRPr="003A174E" w:rsidTr="007F0063">
        <w:trPr>
          <w:jc w:val="center"/>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lastRenderedPageBreak/>
              <w:t>Carbón a cielo abierto con producción menor a 3 millones de toneladas</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2,5%</w:t>
            </w:r>
          </w:p>
        </w:tc>
      </w:tr>
      <w:tr w:rsidR="00EC45FF" w:rsidRPr="003A174E" w:rsidTr="007F0063">
        <w:trPr>
          <w:jc w:val="center"/>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Oro y plata veta</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45FF" w:rsidRPr="003A174E" w:rsidRDefault="00EC45FF" w:rsidP="007F0063">
            <w:pPr>
              <w:spacing w:afterLines="20" w:after="48" w:line="240" w:lineRule="auto"/>
              <w:jc w:val="center"/>
              <w:rPr>
                <w:rFonts w:ascii="Georgia" w:eastAsia="Times New Roman" w:hAnsi="Georgia"/>
                <w:i/>
                <w:sz w:val="20"/>
                <w:szCs w:val="20"/>
                <w:lang w:val="es-CO" w:eastAsia="es-CO"/>
              </w:rPr>
            </w:pPr>
            <w:r w:rsidRPr="003A174E">
              <w:rPr>
                <w:rFonts w:ascii="Georgia" w:eastAsia="+mn-ea" w:hAnsi="Georgia"/>
                <w:i/>
                <w:kern w:val="24"/>
                <w:sz w:val="20"/>
                <w:szCs w:val="20"/>
                <w:lang w:val="es-CO" w:eastAsia="es-CO"/>
              </w:rPr>
              <w:t>0,4%</w:t>
            </w:r>
          </w:p>
          <w:p w:rsidR="00EC45FF" w:rsidRPr="003A174E" w:rsidRDefault="00EC45FF" w:rsidP="007F0063">
            <w:pPr>
              <w:spacing w:afterLines="20" w:after="48" w:line="240" w:lineRule="auto"/>
              <w:jc w:val="center"/>
              <w:rPr>
                <w:rFonts w:ascii="Georgia" w:hAnsi="Georgia"/>
                <w:i/>
                <w:sz w:val="20"/>
                <w:szCs w:val="20"/>
                <w:lang w:val="es-CO"/>
              </w:rPr>
            </w:pPr>
          </w:p>
        </w:tc>
      </w:tr>
      <w:tr w:rsidR="00EC45FF" w:rsidRPr="003A174E" w:rsidTr="007F0063">
        <w:trPr>
          <w:trHeight w:val="359"/>
          <w:jc w:val="center"/>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Oro y Plata aluvión</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tcPr>
          <w:p w:rsidR="00EC45FF" w:rsidRPr="003A174E" w:rsidRDefault="00EC45FF" w:rsidP="007F0063">
            <w:pPr>
              <w:spacing w:afterLines="20" w:after="48" w:line="240" w:lineRule="auto"/>
              <w:jc w:val="center"/>
              <w:rPr>
                <w:rFonts w:ascii="Georgia" w:eastAsia="Times New Roman" w:hAnsi="Georgia"/>
                <w:i/>
                <w:sz w:val="20"/>
                <w:szCs w:val="20"/>
                <w:lang w:val="es-CO" w:eastAsia="es-CO"/>
              </w:rPr>
            </w:pPr>
            <w:r w:rsidRPr="003A174E">
              <w:rPr>
                <w:rFonts w:ascii="Georgia" w:eastAsia="+mn-ea" w:hAnsi="Georgia"/>
                <w:i/>
                <w:kern w:val="24"/>
                <w:sz w:val="20"/>
                <w:szCs w:val="20"/>
                <w:lang w:val="es-CO" w:eastAsia="es-CO"/>
              </w:rPr>
              <w:t>2,0%</w:t>
            </w:r>
          </w:p>
          <w:p w:rsidR="00EC45FF" w:rsidRPr="003A174E" w:rsidRDefault="00EC45FF" w:rsidP="007F0063">
            <w:pPr>
              <w:spacing w:afterLines="20" w:after="48" w:line="240" w:lineRule="auto"/>
              <w:jc w:val="center"/>
              <w:rPr>
                <w:rFonts w:ascii="Georgia" w:hAnsi="Georgia"/>
                <w:i/>
                <w:sz w:val="20"/>
                <w:szCs w:val="20"/>
                <w:lang w:val="es-CO"/>
              </w:rPr>
            </w:pPr>
          </w:p>
        </w:tc>
      </w:tr>
      <w:tr w:rsidR="00EC45FF" w:rsidRPr="003A174E" w:rsidTr="007F0063">
        <w:trPr>
          <w:jc w:val="center"/>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Platino</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tcPr>
          <w:p w:rsidR="00EC45FF" w:rsidRPr="003A174E" w:rsidRDefault="00EC45FF" w:rsidP="007F0063">
            <w:pPr>
              <w:spacing w:afterLines="20" w:after="48" w:line="240" w:lineRule="auto"/>
              <w:jc w:val="center"/>
              <w:rPr>
                <w:rFonts w:ascii="Georgia" w:hAnsi="Georgia"/>
                <w:i/>
                <w:sz w:val="20"/>
                <w:szCs w:val="20"/>
                <w:lang w:val="es-CO"/>
              </w:rPr>
            </w:pPr>
            <w:r w:rsidRPr="003A174E">
              <w:rPr>
                <w:rFonts w:ascii="Georgia" w:hAnsi="Georgia"/>
                <w:i/>
                <w:sz w:val="20"/>
                <w:szCs w:val="20"/>
                <w:lang w:val="es-CO"/>
              </w:rPr>
              <w:t>1.0 %</w:t>
            </w:r>
          </w:p>
        </w:tc>
      </w:tr>
    </w:tbl>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ES"/>
        </w:rPr>
        <w:t>SECCIÓ</w:t>
      </w:r>
      <w:r w:rsidRPr="003A174E">
        <w:rPr>
          <w:rFonts w:ascii="Georgia" w:hAnsi="Georgia"/>
          <w:b/>
          <w:i/>
          <w:sz w:val="24"/>
          <w:szCs w:val="24"/>
          <w:lang w:val="es-CO"/>
        </w:rPr>
        <w:t>N IV</w:t>
      </w:r>
    </w:p>
    <w:p w:rsidR="00EC45FF" w:rsidRPr="003A174E" w:rsidRDefault="00EC45FF" w:rsidP="00EC45FF">
      <w:pPr>
        <w:spacing w:afterLines="20" w:after="48" w:line="240" w:lineRule="auto"/>
        <w:jc w:val="center"/>
        <w:rPr>
          <w:rFonts w:ascii="Georgia" w:hAnsi="Georgia"/>
          <w:b/>
          <w:i/>
          <w:sz w:val="24"/>
          <w:szCs w:val="24"/>
          <w:lang w:val="es-CO"/>
        </w:rPr>
      </w:pPr>
      <w:r w:rsidRPr="003A174E">
        <w:rPr>
          <w:rFonts w:ascii="Georgia" w:hAnsi="Georgia"/>
          <w:b/>
          <w:i/>
          <w:sz w:val="24"/>
          <w:szCs w:val="24"/>
          <w:lang w:val="es-CO"/>
        </w:rPr>
        <w:t>FACULTADES EXTRAORDINARIAS</w:t>
      </w:r>
    </w:p>
    <w:p w:rsidR="00EC45FF" w:rsidRPr="003A174E" w:rsidRDefault="00EC45FF" w:rsidP="00EC45FF">
      <w:pPr>
        <w:spacing w:afterLines="20" w:after="48" w:line="240" w:lineRule="auto"/>
        <w:jc w:val="center"/>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332</w:t>
      </w:r>
      <w:r w:rsidRPr="003A174E">
        <w:rPr>
          <w:rFonts w:ascii="Georgia" w:hAnsi="Georgia"/>
          <w:b/>
          <w:i/>
          <w:sz w:val="24"/>
          <w:szCs w:val="24"/>
          <w:lang w:val="es-CO"/>
        </w:rPr>
        <w:t xml:space="preserve">°. FACULTADES EXTRAORDINARIAS PARA LA MODIFICACIÓN DE LA ESTRATEGIA DE MONITOREO, SEGUIMIENTO Y CONTROL AL USO DE LOS RECURSOS DEL SISTEMA GENERAL DE PARTICIPACIONES. </w:t>
      </w:r>
      <w:r w:rsidRPr="003A174E">
        <w:rPr>
          <w:rFonts w:ascii="Georgia" w:hAnsi="Georgia"/>
          <w:i/>
          <w:sz w:val="24"/>
          <w:szCs w:val="24"/>
          <w:lang w:val="es-CO"/>
        </w:rPr>
        <w:t>De conformidad con lo establecido en el artículo 150 numeral 10 de la Constitución Política, en concordancia con el artículo 356 de la Constitución Política, revístese al Presidente de la República de precisas facultades extraordinarias, por el término de seis (6) meses, contados a partir de la fecha de publicación de la presente ley para modificar la Estrategia de Monitoreo, Seguimiento y Control al uso de los recursos del Sistema General de Participaciones contenida en el Decreto Ley 028 de 2008.</w:t>
      </w:r>
    </w:p>
    <w:p w:rsidR="00EC45FF" w:rsidRPr="003A174E" w:rsidRDefault="00EC45FF" w:rsidP="00EC45FF">
      <w:pPr>
        <w:spacing w:afterLines="20" w:after="48" w:line="240" w:lineRule="auto"/>
        <w:jc w:val="both"/>
        <w:rPr>
          <w:rFonts w:ascii="Georgia" w:hAnsi="Georgia"/>
          <w:b/>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Pr>
          <w:rFonts w:ascii="Georgia" w:hAnsi="Georgia"/>
          <w:b/>
          <w:i/>
          <w:sz w:val="24"/>
          <w:szCs w:val="24"/>
          <w:lang w:val="es-CO"/>
        </w:rPr>
        <w:t>ARTÍCULO 333</w:t>
      </w:r>
      <w:r w:rsidRPr="003A174E">
        <w:rPr>
          <w:rFonts w:ascii="Georgia" w:hAnsi="Georgia"/>
          <w:b/>
          <w:i/>
          <w:sz w:val="24"/>
          <w:szCs w:val="24"/>
          <w:lang w:val="es-CO"/>
        </w:rPr>
        <w:t>°.</w:t>
      </w:r>
      <w:r w:rsidRPr="003A174E">
        <w:rPr>
          <w:rFonts w:ascii="Georgia" w:hAnsi="Georgia"/>
          <w:i/>
          <w:sz w:val="24"/>
          <w:szCs w:val="24"/>
          <w:lang w:val="es-CO"/>
        </w:rPr>
        <w:t xml:space="preserve"> </w:t>
      </w:r>
      <w:r w:rsidRPr="003A174E">
        <w:rPr>
          <w:rFonts w:ascii="Georgia" w:hAnsi="Georgia"/>
          <w:b/>
          <w:i/>
          <w:sz w:val="24"/>
          <w:szCs w:val="24"/>
          <w:lang w:val="es-CO"/>
        </w:rPr>
        <w:t>MODERNIZACIÓN Y EFICIENCIA DE LAS ENTIDADES PÚBLICAS DEL SECTOR FINANCIERO.</w:t>
      </w:r>
      <w:r w:rsidRPr="003A174E">
        <w:rPr>
          <w:rFonts w:ascii="Georgia" w:hAnsi="Georgia"/>
          <w:i/>
          <w:sz w:val="24"/>
          <w:szCs w:val="24"/>
          <w:lang w:val="es-CO"/>
        </w:rPr>
        <w:t xml:space="preserve"> De conformidad con lo establecido en el artículo 150, numeral 10, de la Constitución Política, revístase al Presidente de la República de precisas facultades extraordinarias, por el término de seis (6) meses, contados a partir de la fecha de publicación de la presente ley, para: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Fusionar entidades públicas del sector financiero, tales como, Aseguradoras Públicas y Fiduciarias Públicas</w:t>
      </w:r>
      <w:r>
        <w:rPr>
          <w:rFonts w:ascii="Georgia" w:hAnsi="Georgia"/>
          <w:i/>
          <w:sz w:val="24"/>
          <w:szCs w:val="24"/>
          <w:lang w:val="es-CO"/>
        </w:rPr>
        <w:t xml:space="preserve"> tales como FONADE y FINDETER</w:t>
      </w:r>
      <w:r w:rsidRPr="003A174E">
        <w:rPr>
          <w:rFonts w:ascii="Georgia" w:hAnsi="Georgia"/>
          <w:i/>
          <w:sz w:val="24"/>
          <w:szCs w:val="24"/>
          <w:lang w:val="es-CO"/>
        </w:rPr>
        <w:t xml:space="preserve">; con el fin de evitar duplicidades; crear una entidad de la Rama Ejecutiva del orden nacional, así como, cambiar la adscripción o vinculación de las entidades financieras que se requieran para este efecto. </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ARTÍCULO</w:t>
      </w:r>
      <w:r>
        <w:rPr>
          <w:rFonts w:ascii="Georgia" w:hAnsi="Georgia"/>
          <w:b/>
          <w:i/>
          <w:sz w:val="24"/>
          <w:szCs w:val="24"/>
          <w:lang w:val="es-ES"/>
        </w:rPr>
        <w:t xml:space="preserve"> 334</w:t>
      </w:r>
      <w:r w:rsidRPr="003A174E">
        <w:rPr>
          <w:rFonts w:ascii="Georgia" w:hAnsi="Georgia"/>
          <w:b/>
          <w:i/>
          <w:sz w:val="24"/>
          <w:szCs w:val="24"/>
          <w:lang w:val="es-ES"/>
        </w:rPr>
        <w:t>°</w:t>
      </w:r>
      <w:r w:rsidRPr="003A174E">
        <w:rPr>
          <w:rFonts w:ascii="Georgia" w:hAnsi="Georgia"/>
          <w:b/>
          <w:i/>
          <w:sz w:val="24"/>
          <w:szCs w:val="24"/>
        </w:rPr>
        <w:t>.</w:t>
      </w:r>
      <w:r w:rsidRPr="003A174E">
        <w:rPr>
          <w:rFonts w:ascii="Georgia" w:hAnsi="Georgia"/>
          <w:b/>
          <w:i/>
          <w:sz w:val="24"/>
          <w:szCs w:val="24"/>
          <w:lang w:val="es-ES"/>
        </w:rPr>
        <w:t xml:space="preserve"> REESTRUCTURACIÓN DE LA CONTRALORÍA GENERAL DE LA REPÚBLICA.</w:t>
      </w:r>
      <w:r w:rsidRPr="003A174E">
        <w:rPr>
          <w:rFonts w:ascii="Georgia" w:hAnsi="Georgia"/>
          <w:b/>
          <w:i/>
          <w:sz w:val="24"/>
          <w:szCs w:val="24"/>
        </w:rPr>
        <w:t xml:space="preserve"> </w:t>
      </w:r>
      <w:r w:rsidRPr="003A174E">
        <w:rPr>
          <w:rFonts w:ascii="Georgia" w:hAnsi="Georgia"/>
          <w:i/>
          <w:sz w:val="24"/>
          <w:szCs w:val="24"/>
        </w:rPr>
        <w:t xml:space="preserve">De conformidad con lo establecido en el artículo 150, numeral 10, de la Constitución Política, revístase al Presidente de la República de precisas facultades extraordinarias, por el </w:t>
      </w:r>
      <w:r w:rsidRPr="003A174E">
        <w:rPr>
          <w:rFonts w:ascii="Georgia" w:hAnsi="Georgia"/>
          <w:i/>
          <w:sz w:val="24"/>
          <w:szCs w:val="24"/>
          <w:lang w:val="es-CO"/>
        </w:rPr>
        <w:t>término de 6 meses, contados a partir de la fecha de publicación de la presente Ley, para:</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Restructurar jerárquica y funcionalmente la Contraloría Deleg</w:t>
      </w:r>
      <w:r w:rsidRPr="003A174E">
        <w:rPr>
          <w:rFonts w:ascii="Georgia" w:hAnsi="Georgia"/>
          <w:i/>
          <w:sz w:val="24"/>
          <w:szCs w:val="24"/>
        </w:rPr>
        <w:t xml:space="preserve">ada para el Sector Defensa, Justicia y Seguridad, la Contraloría delegada para el Sector Social, la Contraloría Delegada  para el Sector Infraestructura Física y Telecomunicaciones, Comercio Exterior y Desarrollo Regional, la Contraloría Delegada para Investigaciones, Juicios Fiscales y Jurisdicción Coactiva, la Gerencia de Gestión </w:t>
      </w:r>
      <w:r w:rsidRPr="003A174E">
        <w:rPr>
          <w:rFonts w:ascii="Georgia" w:hAnsi="Georgia"/>
          <w:i/>
          <w:sz w:val="24"/>
          <w:szCs w:val="24"/>
        </w:rPr>
        <w:lastRenderedPageBreak/>
        <w:t xml:space="preserve">Administrativa y Financiera, la Contraloría Delegada para la Participación Ciudadana, la Unidad de Investigaciones Especiales contra la Corrupción y la Unidad Delegada para el Posconflicto, y crear la Dirección de Información, Análisis y Reacción Inmediata, en la Contraloría General de la República, para lo cual podrá desarrollar la estructura de la entidad, creando nuevas dependencias, modificar o establecer sus funciones y su planta de personal creando los empleos a que </w:t>
      </w:r>
      <w:r w:rsidRPr="003A174E">
        <w:rPr>
          <w:rFonts w:ascii="Georgia" w:hAnsi="Georgia"/>
          <w:i/>
          <w:sz w:val="24"/>
          <w:szCs w:val="24"/>
          <w:lang w:val="es-CO"/>
        </w:rPr>
        <w:t>haya lugar.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lang w:val="es-CO"/>
        </w:rPr>
        <w:t>PARÁGRAFO PRIMERO</w:t>
      </w:r>
      <w:r w:rsidRPr="003A174E">
        <w:rPr>
          <w:rFonts w:ascii="Georgia" w:hAnsi="Georgia"/>
          <w:i/>
          <w:sz w:val="24"/>
          <w:szCs w:val="24"/>
          <w:lang w:val="es-CO"/>
        </w:rPr>
        <w:t>. La Gerencia Administrativa y Financiara tiene la función de dirigir y controlar las actividades y procesos de contratación administrativa, para lo cual ordenará el gasto y suscribirá los actos, contratos y convenios requeridos para el funcionamiento de la entidad.</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lang w:val="es-CO"/>
        </w:rPr>
        <w:t>PARÁGRAFO SEGUNDO</w:t>
      </w:r>
      <w:r w:rsidRPr="003A174E">
        <w:rPr>
          <w:rFonts w:ascii="Georgia" w:hAnsi="Georgia"/>
          <w:i/>
          <w:sz w:val="24"/>
          <w:szCs w:val="24"/>
          <w:lang w:val="es-CO"/>
        </w:rPr>
        <w:t>. El Fondo de Bienestar Social de la Contraloría General de la República</w:t>
      </w:r>
      <w:r w:rsidRPr="003A174E">
        <w:rPr>
          <w:rFonts w:ascii="Georgia" w:hAnsi="Georgia"/>
          <w:i/>
          <w:sz w:val="24"/>
          <w:szCs w:val="24"/>
        </w:rPr>
        <w:t xml:space="preserve"> podrá contratar seguro de vida colectivo con cobertura general, para los servidores de la Contraloría General de la República.</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335</w:t>
      </w:r>
      <w:r w:rsidRPr="003A174E">
        <w:rPr>
          <w:rFonts w:ascii="Georgia" w:hAnsi="Georgia"/>
          <w:b/>
          <w:i/>
          <w:sz w:val="24"/>
          <w:szCs w:val="24"/>
          <w:lang w:val="es-ES"/>
        </w:rPr>
        <w:t>°</w:t>
      </w:r>
      <w:r w:rsidRPr="003A174E">
        <w:rPr>
          <w:rFonts w:ascii="Georgia" w:hAnsi="Georgia"/>
          <w:i/>
          <w:sz w:val="24"/>
          <w:szCs w:val="24"/>
        </w:rPr>
        <w:t>.</w:t>
      </w:r>
      <w:r w:rsidRPr="003A174E">
        <w:rPr>
          <w:rFonts w:ascii="Georgia" w:hAnsi="Georgia"/>
          <w:i/>
          <w:sz w:val="24"/>
          <w:szCs w:val="24"/>
          <w:lang w:val="es-ES"/>
        </w:rPr>
        <w:t xml:space="preserve"> </w:t>
      </w:r>
      <w:r w:rsidRPr="003A174E">
        <w:rPr>
          <w:rFonts w:ascii="Georgia" w:hAnsi="Georgia"/>
          <w:b/>
          <w:i/>
          <w:sz w:val="24"/>
          <w:szCs w:val="24"/>
          <w:lang w:val="es-ES"/>
        </w:rPr>
        <w:t>SUPRESIÓN DE TRÁMITES, PROCESOS Y PROCEDIMIENTOS PARA</w:t>
      </w:r>
      <w:r w:rsidRPr="003A174E">
        <w:rPr>
          <w:rFonts w:ascii="Georgia" w:hAnsi="Georgia"/>
          <w:b/>
          <w:i/>
          <w:sz w:val="24"/>
          <w:szCs w:val="24"/>
        </w:rPr>
        <w:t xml:space="preserve"> LA MODERNIZACIÓN Y EFICIENCIA DE LA ADMINISTRACIÓN PÚBLICA.</w:t>
      </w:r>
      <w:r w:rsidRPr="003A174E">
        <w:rPr>
          <w:rFonts w:ascii="Georgia" w:hAnsi="Georgia"/>
          <w:i/>
          <w:sz w:val="24"/>
          <w:szCs w:val="24"/>
          <w:lang w:val="es-ES"/>
        </w:rPr>
        <w:t xml:space="preserve"> </w:t>
      </w:r>
      <w:r w:rsidRPr="003A174E">
        <w:rPr>
          <w:rFonts w:ascii="Georgia" w:hAnsi="Georgia"/>
          <w:i/>
          <w:sz w:val="24"/>
          <w:szCs w:val="24"/>
        </w:rPr>
        <w:t xml:space="preserve">De conformidad con lo establecido en el artículo 150, numeral 10, de la Constitución Política, revístese al Presidente de la República de precisas facultades extraordinarias, por el término de seis (6) meses, contados a partir de la fecha de publicación de la presente </w:t>
      </w:r>
      <w:r w:rsidRPr="003A174E">
        <w:rPr>
          <w:rFonts w:ascii="Georgia" w:hAnsi="Georgia"/>
          <w:i/>
          <w:sz w:val="24"/>
          <w:szCs w:val="24"/>
          <w:lang w:val="es-ES"/>
        </w:rPr>
        <w:t>L</w:t>
      </w:r>
      <w:r w:rsidRPr="003A174E">
        <w:rPr>
          <w:rFonts w:ascii="Georgia" w:hAnsi="Georgia"/>
          <w:i/>
          <w:sz w:val="24"/>
          <w:szCs w:val="24"/>
        </w:rPr>
        <w:t>ey, para: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Simplificar o suprimir o reformar trámites, procesos y procedimientos innecesarios existentes en la administración pública.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 xml:space="preserve">ARTÍCULO </w:t>
      </w:r>
      <w:r>
        <w:rPr>
          <w:rFonts w:ascii="Georgia" w:hAnsi="Georgia"/>
          <w:b/>
          <w:i/>
          <w:sz w:val="24"/>
          <w:szCs w:val="24"/>
          <w:lang w:val="es-ES"/>
        </w:rPr>
        <w:t>336</w:t>
      </w:r>
      <w:r w:rsidRPr="003A174E">
        <w:rPr>
          <w:rFonts w:ascii="Georgia" w:hAnsi="Georgia"/>
          <w:b/>
          <w:i/>
          <w:sz w:val="24"/>
          <w:szCs w:val="24"/>
          <w:lang w:val="es-ES"/>
        </w:rPr>
        <w:t>°</w:t>
      </w:r>
      <w:r w:rsidRPr="003A174E">
        <w:rPr>
          <w:rFonts w:ascii="Georgia" w:hAnsi="Georgia"/>
          <w:i/>
          <w:sz w:val="24"/>
          <w:szCs w:val="24"/>
        </w:rPr>
        <w:t>.</w:t>
      </w:r>
      <w:r w:rsidRPr="003A174E">
        <w:rPr>
          <w:rFonts w:ascii="Georgia" w:hAnsi="Georgia"/>
          <w:i/>
          <w:sz w:val="24"/>
          <w:szCs w:val="24"/>
          <w:lang w:val="es-ES"/>
        </w:rPr>
        <w:t xml:space="preserve"> </w:t>
      </w:r>
      <w:r w:rsidRPr="003A174E">
        <w:rPr>
          <w:rFonts w:ascii="Georgia" w:hAnsi="Georgia"/>
          <w:b/>
          <w:i/>
          <w:sz w:val="24"/>
          <w:szCs w:val="24"/>
          <w:lang w:val="es-ES"/>
        </w:rPr>
        <w:t>SUPRESIÓN, FUSIÓN O MODIFICACIÓN DE CONSEJOS, COMITÉS E INSTANCIAS DE COORDINACIÓN O DIRECCIÓN.</w:t>
      </w:r>
      <w:r w:rsidRPr="003A174E">
        <w:rPr>
          <w:rFonts w:ascii="Georgia" w:hAnsi="Georgia"/>
          <w:i/>
          <w:sz w:val="24"/>
          <w:szCs w:val="24"/>
          <w:lang w:val="es-ES"/>
        </w:rPr>
        <w:t xml:space="preserve"> D</w:t>
      </w:r>
      <w:r w:rsidRPr="003A174E">
        <w:rPr>
          <w:rFonts w:ascii="Georgia" w:hAnsi="Georgia"/>
          <w:i/>
          <w:sz w:val="24"/>
          <w:szCs w:val="24"/>
        </w:rPr>
        <w:t xml:space="preserve">e conformidad con lo establecido en el artículo 150, numeral 10, de la constitución política, revístese al </w:t>
      </w:r>
      <w:r w:rsidRPr="003A174E">
        <w:rPr>
          <w:rFonts w:ascii="Georgia" w:hAnsi="Georgia"/>
          <w:i/>
          <w:sz w:val="24"/>
          <w:szCs w:val="24"/>
          <w:lang w:val="es-ES"/>
        </w:rPr>
        <w:t>P</w:t>
      </w:r>
      <w:r w:rsidRPr="003A174E">
        <w:rPr>
          <w:rFonts w:ascii="Georgia" w:hAnsi="Georgia"/>
          <w:i/>
          <w:sz w:val="24"/>
          <w:szCs w:val="24"/>
        </w:rPr>
        <w:t xml:space="preserve">residente de la </w:t>
      </w:r>
      <w:r w:rsidRPr="003A174E">
        <w:rPr>
          <w:rFonts w:ascii="Georgia" w:hAnsi="Georgia"/>
          <w:i/>
          <w:sz w:val="24"/>
          <w:szCs w:val="24"/>
          <w:lang w:val="es-ES"/>
        </w:rPr>
        <w:t>R</w:t>
      </w:r>
      <w:r w:rsidRPr="003A174E">
        <w:rPr>
          <w:rFonts w:ascii="Georgia" w:hAnsi="Georgia"/>
          <w:i/>
          <w:sz w:val="24"/>
          <w:szCs w:val="24"/>
        </w:rPr>
        <w:t>epública de precisas facultades extraordinarias, por el término de seis (6) meses, contados a partir de la fecha de publicación de la presente Ley, para: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 xml:space="preserve">Suprimir, fusionar o modificar consejos, comités y demás instancias de dirección o coordinación que requieran norma con fuerza de </w:t>
      </w:r>
      <w:r w:rsidRPr="003A174E">
        <w:rPr>
          <w:rFonts w:ascii="Georgia" w:hAnsi="Georgia"/>
          <w:i/>
          <w:sz w:val="24"/>
          <w:szCs w:val="24"/>
          <w:lang w:val="es-ES"/>
        </w:rPr>
        <w:t>L</w:t>
      </w:r>
      <w:r w:rsidRPr="003A174E">
        <w:rPr>
          <w:rFonts w:ascii="Georgia" w:hAnsi="Georgia"/>
          <w:i/>
          <w:sz w:val="24"/>
          <w:szCs w:val="24"/>
        </w:rPr>
        <w:t>ey.</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ART</w:t>
      </w:r>
      <w:r w:rsidRPr="003A174E">
        <w:rPr>
          <w:rFonts w:ascii="Georgia" w:hAnsi="Georgia"/>
          <w:b/>
          <w:i/>
          <w:sz w:val="24"/>
          <w:szCs w:val="24"/>
          <w:lang w:val="es-CO"/>
        </w:rPr>
        <w:t>Í</w:t>
      </w:r>
      <w:r w:rsidRPr="003A174E">
        <w:rPr>
          <w:rFonts w:ascii="Georgia" w:hAnsi="Georgia"/>
          <w:b/>
          <w:i/>
          <w:sz w:val="24"/>
          <w:szCs w:val="24"/>
        </w:rPr>
        <w:t xml:space="preserve">CULO </w:t>
      </w:r>
      <w:r>
        <w:rPr>
          <w:rFonts w:ascii="Georgia" w:hAnsi="Georgia"/>
          <w:b/>
          <w:i/>
          <w:sz w:val="24"/>
          <w:szCs w:val="24"/>
          <w:lang w:val="es-ES"/>
        </w:rPr>
        <w:t>337</w:t>
      </w:r>
      <w:r w:rsidRPr="003A174E">
        <w:rPr>
          <w:rFonts w:ascii="Georgia" w:hAnsi="Georgia"/>
          <w:b/>
          <w:i/>
          <w:sz w:val="24"/>
          <w:szCs w:val="24"/>
          <w:lang w:val="es-ES"/>
        </w:rPr>
        <w:t>°</w:t>
      </w:r>
      <w:r w:rsidRPr="003A174E">
        <w:rPr>
          <w:rFonts w:ascii="Georgia" w:hAnsi="Georgia"/>
          <w:b/>
          <w:i/>
          <w:sz w:val="24"/>
          <w:szCs w:val="24"/>
        </w:rPr>
        <w:t>. FORTALECIMIENTO DE LA EQUIDAD, EL EMPRENDIMIENTO Y LA LEGALIDAD DESDE LA MODERNIZACIÓN Y EFICIENCIA DE LA ADMINISTRACIÓN PÚBLICA</w:t>
      </w:r>
      <w:r w:rsidRPr="003A174E">
        <w:rPr>
          <w:rFonts w:ascii="Georgia" w:hAnsi="Georgia"/>
          <w:i/>
          <w:sz w:val="24"/>
          <w:szCs w:val="24"/>
        </w:rPr>
        <w:t>. De conformidad con lo establecido en el artículo 150, numeral 10, de la Constitución Política, revístese al Presidente de la República de precisas facultades extraordinarias, por el término de seis (6) meses, contados a partir de la fecha de publicación de la presente ley, para:</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ES"/>
        </w:rPr>
      </w:pPr>
      <w:r w:rsidRPr="003A174E">
        <w:rPr>
          <w:rFonts w:ascii="Georgia" w:hAnsi="Georgia"/>
          <w:i/>
          <w:sz w:val="24"/>
          <w:szCs w:val="24"/>
        </w:rPr>
        <w:lastRenderedPageBreak/>
        <w:t xml:space="preserve">Realizar las modificaciones presupuestales necesarias para apropiar los gastos de funcionamiento e inversión necesarios para el cumplimiento de las facultades extraordinarias conferidas en </w:t>
      </w:r>
      <w:r w:rsidRPr="003A174E">
        <w:rPr>
          <w:rFonts w:ascii="Georgia" w:hAnsi="Georgia"/>
          <w:i/>
          <w:sz w:val="24"/>
          <w:szCs w:val="24"/>
          <w:lang w:val="es-ES"/>
        </w:rPr>
        <w:t>la presente Ley.</w:t>
      </w:r>
    </w:p>
    <w:p w:rsidR="00EC45FF" w:rsidRPr="003A174E" w:rsidRDefault="00EC45FF" w:rsidP="00EC45FF">
      <w:pPr>
        <w:spacing w:afterLines="20" w:after="48" w:line="240" w:lineRule="auto"/>
        <w:jc w:val="both"/>
        <w:rPr>
          <w:rFonts w:ascii="Georgia" w:hAnsi="Georgia"/>
          <w:i/>
          <w:sz w:val="24"/>
          <w:szCs w:val="24"/>
          <w:lang w:val="es-ES"/>
        </w:rPr>
      </w:pPr>
    </w:p>
    <w:p w:rsidR="00EC45FF" w:rsidRPr="003A174E" w:rsidRDefault="00EC45FF" w:rsidP="00EC45FF">
      <w:pPr>
        <w:spacing w:afterLines="20" w:after="48" w:line="240" w:lineRule="auto"/>
        <w:jc w:val="both"/>
        <w:rPr>
          <w:rFonts w:ascii="Georgia" w:hAnsi="Georgia"/>
          <w:i/>
          <w:sz w:val="24"/>
          <w:szCs w:val="24"/>
        </w:rPr>
      </w:pPr>
      <w:r>
        <w:rPr>
          <w:rFonts w:ascii="Georgia" w:hAnsi="Georgia"/>
          <w:b/>
          <w:i/>
          <w:sz w:val="24"/>
          <w:szCs w:val="24"/>
          <w:lang w:val="es-CO"/>
        </w:rPr>
        <w:t>ARTÍCULO 338</w:t>
      </w:r>
      <w:r w:rsidRPr="003A174E">
        <w:rPr>
          <w:rFonts w:ascii="Georgia" w:hAnsi="Georgia"/>
          <w:b/>
          <w:i/>
          <w:sz w:val="24"/>
          <w:szCs w:val="24"/>
          <w:lang w:val="es-CO"/>
        </w:rPr>
        <w:t xml:space="preserve">°. AUTONOMÍA PRESUPUESTAL DEL CONSEJO NACIONAL ELECTORAL. </w:t>
      </w:r>
      <w:r w:rsidRPr="003A174E">
        <w:rPr>
          <w:rFonts w:ascii="Georgia" w:hAnsi="Georgia"/>
          <w:i/>
          <w:sz w:val="24"/>
          <w:szCs w:val="24"/>
          <w:lang w:val="es-CO"/>
        </w:rPr>
        <w:t xml:space="preserve">Para efectos de la autonomía administrativa y presupuestal del Consejo Nacional Electoral de que trata el artículo 265 de la Constitución, revístase al Presidente de la República de facultades extraordinarias para que dentro de los 6 meses siguientes a la expedición de la presente ley, adopte la estructura y organización del Consejo Nacional Electoral, que mantendrá el régimen especial establecido en la Ley 1350 de 2009 para lo cual tendrá en cuenta los </w:t>
      </w:r>
      <w:r w:rsidRPr="003A174E">
        <w:rPr>
          <w:rFonts w:ascii="Georgia" w:hAnsi="Georgia"/>
          <w:i/>
          <w:sz w:val="24"/>
          <w:szCs w:val="24"/>
        </w:rPr>
        <w:t>estudios que ha adelantado dicha Corporación y el Departamento Administrativo de la Función Pública sobre el particular.</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i/>
          <w:sz w:val="24"/>
          <w:szCs w:val="24"/>
        </w:rPr>
        <w:t>En la Ley Anual de Presupuesto se asignarán las apropiaciones necesarias con sujeción a las disposiciones de la gestión presupuestal para el desarrollo de la estructura y organización del Consejo Nacional Electoral.</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rPr>
      </w:pPr>
      <w:r w:rsidRPr="003A174E">
        <w:rPr>
          <w:rFonts w:ascii="Georgia" w:hAnsi="Georgia"/>
          <w:b/>
          <w:i/>
          <w:sz w:val="24"/>
          <w:szCs w:val="24"/>
        </w:rPr>
        <w:t>PARÁGRAFO PRIMERO.</w:t>
      </w:r>
      <w:r w:rsidRPr="003A174E">
        <w:rPr>
          <w:rFonts w:ascii="Georgia" w:hAnsi="Georgia"/>
          <w:i/>
          <w:sz w:val="24"/>
          <w:szCs w:val="24"/>
        </w:rPr>
        <w:t xml:space="preserve"> En ejercicio de su autonomía administrativa le corresponde al Consejo Nacional Electoral a través de su presidente, nombrar a los servidores públicos de acuerdo con la estructura y organización dispuesta para el efecto, así como crear grupos internos de trabajo y definir todos los aspectos relacionados con el cumplimiento de sus funciones, en armonía con los principios consagrados en la Constitución Política y la ley, así como suscribir los contratos que debe celebrar en cumplimiento de sus funciones, sin perjuicio de la delegación que para el efecto, realice conforme a lo dispuesto en las disposiciones legales y en la presente Ley.</w:t>
      </w:r>
    </w:p>
    <w:p w:rsidR="00EC45FF" w:rsidRPr="003A174E" w:rsidRDefault="00EC45FF" w:rsidP="00EC45FF">
      <w:pPr>
        <w:spacing w:afterLines="20" w:after="48" w:line="240" w:lineRule="auto"/>
        <w:jc w:val="both"/>
        <w:rPr>
          <w:rFonts w:ascii="Georgia" w:hAnsi="Georgia"/>
          <w:i/>
          <w:sz w:val="24"/>
          <w:szCs w:val="24"/>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PARÁGRAFO SEGUNDO</w:t>
      </w:r>
      <w:r w:rsidRPr="003A174E">
        <w:rPr>
          <w:rFonts w:ascii="Georgia" w:hAnsi="Georgia"/>
          <w:b/>
          <w:i/>
          <w:sz w:val="24"/>
          <w:szCs w:val="24"/>
          <w:lang w:val="es-CO"/>
        </w:rPr>
        <w:t xml:space="preserve">. </w:t>
      </w:r>
      <w:r w:rsidRPr="003A174E">
        <w:rPr>
          <w:rFonts w:ascii="Georgia" w:hAnsi="Georgia"/>
          <w:i/>
          <w:sz w:val="24"/>
          <w:szCs w:val="24"/>
          <w:lang w:val="es-CO"/>
        </w:rPr>
        <w:t>En desarrollo de las facultades de que trata el presente artículo el Presidente de la República adoptará  la estructura orgánica e interna y la planta de personal para el Consejo Nacional Electoral, que le permita desarrollar la autonomía administrativa y presupuestal de que trata el artículo 265 de la Constitución Política. El régimen laboral para sus servidores será el establecido en la Ley 1350 de 2009. El presidente del Consejo estará facultado para nombrar a los empleados del Consejo y para celebrar los contratos en cumplimiento de sus funciones.</w:t>
      </w:r>
    </w:p>
    <w:p w:rsidR="00EC45FF" w:rsidRPr="003A174E" w:rsidRDefault="00EC45FF" w:rsidP="00EC45FF">
      <w:pPr>
        <w:spacing w:afterLines="20" w:after="48" w:line="240" w:lineRule="auto"/>
        <w:jc w:val="both"/>
        <w:rPr>
          <w:rFonts w:ascii="Georgia" w:hAnsi="Georgia"/>
          <w:i/>
          <w:sz w:val="24"/>
          <w:szCs w:val="24"/>
          <w:lang w:val="es-CO"/>
        </w:rPr>
      </w:pPr>
    </w:p>
    <w:p w:rsidR="00EC45FF" w:rsidRPr="007D5592" w:rsidRDefault="00EC45FF" w:rsidP="00EC45FF">
      <w:pPr>
        <w:spacing w:afterLines="20" w:after="48" w:line="240" w:lineRule="auto"/>
        <w:jc w:val="both"/>
        <w:rPr>
          <w:rFonts w:ascii="Georgia" w:hAnsi="Georgia"/>
          <w:b/>
          <w:i/>
          <w:sz w:val="24"/>
          <w:szCs w:val="24"/>
        </w:rPr>
      </w:pPr>
      <w:r w:rsidRPr="003A174E">
        <w:rPr>
          <w:rFonts w:ascii="Georgia" w:hAnsi="Georgia"/>
          <w:b/>
          <w:i/>
          <w:sz w:val="24"/>
          <w:szCs w:val="24"/>
        </w:rPr>
        <w:t xml:space="preserve">ARTÍCULO </w:t>
      </w:r>
      <w:r>
        <w:rPr>
          <w:rFonts w:ascii="Georgia" w:hAnsi="Georgia"/>
          <w:b/>
          <w:i/>
          <w:sz w:val="24"/>
          <w:szCs w:val="24"/>
          <w:lang w:val="es-ES"/>
        </w:rPr>
        <w:t>339</w:t>
      </w:r>
      <w:r w:rsidRPr="003A174E">
        <w:rPr>
          <w:rFonts w:ascii="Georgia" w:hAnsi="Georgia"/>
          <w:b/>
          <w:i/>
          <w:sz w:val="24"/>
          <w:szCs w:val="24"/>
          <w:lang w:val="es-ES"/>
        </w:rPr>
        <w:t>º</w:t>
      </w:r>
      <w:r w:rsidRPr="003A174E">
        <w:rPr>
          <w:rFonts w:ascii="Georgia" w:hAnsi="Georgia"/>
          <w:b/>
          <w:i/>
          <w:sz w:val="24"/>
          <w:szCs w:val="24"/>
        </w:rPr>
        <w:t xml:space="preserve"> (NUEVO)</w:t>
      </w:r>
      <w:r>
        <w:rPr>
          <w:rFonts w:ascii="Georgia" w:hAnsi="Georgia"/>
          <w:b/>
          <w:i/>
          <w:sz w:val="24"/>
          <w:szCs w:val="24"/>
          <w:lang w:val="es-ES"/>
        </w:rPr>
        <w:t xml:space="preserve"> EXONERACIÓN DE APORTES</w:t>
      </w:r>
      <w:r w:rsidRPr="003A174E">
        <w:rPr>
          <w:rFonts w:ascii="Georgia" w:hAnsi="Georgia"/>
          <w:b/>
          <w:i/>
          <w:sz w:val="24"/>
          <w:szCs w:val="24"/>
        </w:rPr>
        <w:t xml:space="preserve">. </w:t>
      </w:r>
      <w:r w:rsidRPr="007D5592">
        <w:rPr>
          <w:rFonts w:ascii="Georgia" w:hAnsi="Georgia"/>
          <w:i/>
          <w:sz w:val="24"/>
          <w:szCs w:val="24"/>
          <w:lang w:val="es-CO"/>
        </w:rPr>
        <w:t xml:space="preserve">Adiciónese un inciso al parágrafo 2° del Artículo 114-1 del Estatuto Tributario, así: </w:t>
      </w:r>
      <w:bookmarkStart w:id="3" w:name="_gjdgxs" w:colFirst="0" w:colLast="0"/>
      <w:bookmarkEnd w:id="3"/>
      <w:r w:rsidRPr="007D5592">
        <w:rPr>
          <w:rFonts w:ascii="Georgia" w:hAnsi="Georgia"/>
          <w:i/>
          <w:sz w:val="24"/>
          <w:szCs w:val="24"/>
          <w:lang w:val="es-CO"/>
        </w:rPr>
        <w:t>Las entidades de que trata el artículo 19-4 del Estatuto Tributario conservan el</w:t>
      </w:r>
      <w:r>
        <w:rPr>
          <w:color w:val="000000"/>
          <w:sz w:val="24"/>
          <w:szCs w:val="24"/>
        </w:rPr>
        <w:t xml:space="preserve"> </w:t>
      </w:r>
      <w:r w:rsidRPr="007D5592">
        <w:rPr>
          <w:rFonts w:ascii="Georgia" w:hAnsi="Georgia"/>
          <w:i/>
          <w:sz w:val="24"/>
          <w:szCs w:val="24"/>
          <w:lang w:val="es-CO"/>
        </w:rPr>
        <w:t>derecho a la exoneración de que trata este artículo.</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b/>
          <w:i/>
          <w:sz w:val="24"/>
          <w:szCs w:val="24"/>
        </w:rPr>
        <w:t xml:space="preserve">ARTÍCULO </w:t>
      </w:r>
      <w:r>
        <w:rPr>
          <w:rFonts w:ascii="Georgia" w:hAnsi="Georgia"/>
          <w:b/>
          <w:i/>
          <w:sz w:val="24"/>
          <w:szCs w:val="24"/>
          <w:lang w:val="es-ES"/>
        </w:rPr>
        <w:t>340</w:t>
      </w:r>
      <w:r w:rsidRPr="003A174E">
        <w:rPr>
          <w:rFonts w:ascii="Georgia" w:hAnsi="Georgia"/>
          <w:b/>
          <w:i/>
          <w:sz w:val="24"/>
          <w:szCs w:val="24"/>
          <w:lang w:val="es-ES"/>
        </w:rPr>
        <w:t>º</w:t>
      </w:r>
      <w:r w:rsidRPr="003A174E">
        <w:rPr>
          <w:rFonts w:ascii="Georgia" w:hAnsi="Georgia"/>
          <w:b/>
          <w:i/>
          <w:sz w:val="24"/>
          <w:szCs w:val="24"/>
        </w:rPr>
        <w:t xml:space="preserve"> (NUEVO). VIGENCIAS Y DEROGATORIAS. </w:t>
      </w:r>
      <w:r w:rsidRPr="003A174E">
        <w:rPr>
          <w:rFonts w:ascii="Georgia" w:hAnsi="Georgia"/>
          <w:i/>
          <w:sz w:val="24"/>
          <w:szCs w:val="24"/>
        </w:rPr>
        <w:t xml:space="preserve">La presente ley rige a partir de su publicación y deroga todas las disposiciones que le sean </w:t>
      </w:r>
      <w:r w:rsidRPr="003A174E">
        <w:rPr>
          <w:rFonts w:ascii="Georgia" w:hAnsi="Georgia"/>
          <w:i/>
          <w:sz w:val="24"/>
          <w:szCs w:val="24"/>
          <w:lang w:val="es-CO"/>
        </w:rPr>
        <w:t xml:space="preserve">contrarias. </w:t>
      </w: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lastRenderedPageBreak/>
        <w:t>Los artículos de las Leyes 812 de 2003, 1151 de 2007, 1450 de 2011, y 1753 de 2015 no derogados expresamente en el siguiente inciso o por otras leyes continuarán vigentes hasta que sean derogados o modificados por norma posterior.</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sz w:val="24"/>
          <w:szCs w:val="24"/>
          <w:lang w:val="es-CO"/>
        </w:rPr>
      </w:pPr>
      <w:r w:rsidRPr="003A174E">
        <w:rPr>
          <w:rFonts w:ascii="Georgia" w:hAnsi="Georgia"/>
          <w:i/>
          <w:sz w:val="24"/>
          <w:szCs w:val="24"/>
          <w:lang w:val="es-CO"/>
        </w:rPr>
        <w:t>Se derogan expresamente el artículo 4 de la Ley 14 de 1983; el artículo 84 de la Ley 100 de 1993; el artículo 174 del Decreto Ley 1333 de 1986; el artículo 92 de la Ley 617 de 2000; el artículo 56 y 68 de la Ley 962 de 2005; el artículo 31 de la Ley 1151 de 2007; el parágrafo 1 del artículo 4 de la Ley 1393 de 2010; los artículos 51 a 59 de la Ley 1429 de 2010; el artículo 81 de la Ley 1438 de 2011; los artículos 69, 90, 91, 131, 132,</w:t>
      </w:r>
      <w:r w:rsidRPr="003A174E">
        <w:rPr>
          <w:rFonts w:ascii="Georgia" w:hAnsi="Georgia"/>
          <w:i/>
          <w:sz w:val="24"/>
          <w:szCs w:val="24"/>
        </w:rPr>
        <w:t xml:space="preserve"> 133, 134, 135, 138,141, 149, 152 a 155, 159, 161, 171,194, 196, 212, 223, 224, 272 de la Ley 1450 de 2011; los artículos 7, 31, 32, 34, 47, 60, 90, 95, 98,135,136,183, </w:t>
      </w:r>
      <w:r w:rsidRPr="003A174E">
        <w:rPr>
          <w:rFonts w:ascii="Georgia" w:hAnsi="Georgia"/>
          <w:i/>
          <w:sz w:val="24"/>
          <w:szCs w:val="24"/>
          <w:lang w:val="es-ES"/>
        </w:rPr>
        <w:t>186</w:t>
      </w:r>
      <w:r w:rsidRPr="003A174E">
        <w:rPr>
          <w:rFonts w:ascii="Georgia" w:hAnsi="Georgia"/>
          <w:i/>
          <w:sz w:val="24"/>
          <w:szCs w:val="24"/>
        </w:rPr>
        <w:t xml:space="preserve">, 219, 222, 259, 261, 264 y los parágrafos de los artículos 55 y 57 de la Ley 1753 de 2015; el artículo 7 de la Ley 1797 de 2016; el parágrafo </w:t>
      </w:r>
      <w:r w:rsidRPr="003A174E">
        <w:rPr>
          <w:rFonts w:ascii="Georgia" w:hAnsi="Georgia"/>
          <w:i/>
          <w:sz w:val="24"/>
          <w:szCs w:val="24"/>
          <w:lang w:val="es-CO"/>
        </w:rPr>
        <w:t>transitorio del artículo 12 de la Ley 1904 de 2018; el artículo 23 de la Ley 1930 de 2018; el artículo 110 de la Ley 1943 de 2018; y el artículo 4 de la Ley 1951 de 2019.</w:t>
      </w:r>
    </w:p>
    <w:p w:rsidR="00EC45FF" w:rsidRPr="003A174E" w:rsidRDefault="00EC45FF" w:rsidP="00EC45FF">
      <w:pPr>
        <w:spacing w:afterLines="20" w:after="48" w:line="240" w:lineRule="auto"/>
        <w:jc w:val="both"/>
        <w:rPr>
          <w:rFonts w:ascii="Georgia" w:hAnsi="Georgia"/>
          <w:i/>
          <w:sz w:val="24"/>
          <w:szCs w:val="24"/>
          <w:lang w:val="es-CO"/>
        </w:rPr>
      </w:pPr>
    </w:p>
    <w:p w:rsidR="00EC45FF" w:rsidRPr="003A174E" w:rsidRDefault="00EC45FF" w:rsidP="00EC45FF">
      <w:pPr>
        <w:spacing w:afterLines="20" w:after="48" w:line="240" w:lineRule="auto"/>
        <w:jc w:val="both"/>
        <w:rPr>
          <w:rFonts w:ascii="Georgia" w:hAnsi="Georgia"/>
          <w:i/>
          <w:color w:val="000000" w:themeColor="text1"/>
          <w:sz w:val="24"/>
          <w:szCs w:val="24"/>
          <w:lang w:val="es-ES_tradnl"/>
        </w:rPr>
      </w:pPr>
      <w:bookmarkStart w:id="4" w:name="_GoBack"/>
      <w:bookmarkEnd w:id="4"/>
      <w:r w:rsidRPr="003A174E">
        <w:rPr>
          <w:rFonts w:ascii="Georgia" w:hAnsi="Georgia"/>
          <w:i/>
          <w:color w:val="000000" w:themeColor="text1"/>
          <w:sz w:val="24"/>
          <w:szCs w:val="24"/>
          <w:lang w:val="es-ES_tradnl"/>
        </w:rPr>
        <w:t>De los Honorables Congresistas,</w:t>
      </w:r>
    </w:p>
    <w:p w:rsidR="00EC45FF" w:rsidRPr="003A174E" w:rsidRDefault="00EC45FF" w:rsidP="00EC45FF">
      <w:pPr>
        <w:spacing w:afterLines="20" w:after="48" w:line="240" w:lineRule="auto"/>
        <w:jc w:val="both"/>
        <w:rPr>
          <w:rFonts w:ascii="Georgia" w:hAnsi="Georgia"/>
          <w:b/>
          <w:i/>
          <w:color w:val="000000" w:themeColor="text1"/>
          <w:sz w:val="24"/>
          <w:szCs w:val="24"/>
          <w:lang w:val="es-ES_tradnl"/>
        </w:rPr>
      </w:pPr>
    </w:p>
    <w:p w:rsidR="00EC45FF" w:rsidRPr="003A174E" w:rsidRDefault="00EC45FF" w:rsidP="00EC45FF">
      <w:pPr>
        <w:spacing w:line="240" w:lineRule="auto"/>
        <w:jc w:val="both"/>
        <w:rPr>
          <w:rFonts w:ascii="Georgia" w:hAnsi="Georgia"/>
          <w:i/>
          <w:sz w:val="24"/>
          <w:szCs w:val="24"/>
          <w:lang w:val="es-ES_tradnl"/>
        </w:rPr>
      </w:pPr>
      <w:r w:rsidRPr="003A174E">
        <w:rPr>
          <w:rFonts w:ascii="Georgia" w:hAnsi="Georgia"/>
          <w:i/>
          <w:sz w:val="24"/>
          <w:szCs w:val="24"/>
          <w:highlight w:val="yellow"/>
          <w:lang w:val="es-ES_tradnl"/>
        </w:rPr>
        <w:t>[Hoja de firmas]</w:t>
      </w:r>
    </w:p>
    <w:p w:rsidR="00EC45FF" w:rsidRPr="003A174E" w:rsidRDefault="00EC45FF" w:rsidP="00EC45FF">
      <w:pPr>
        <w:pStyle w:val="Normal1"/>
        <w:spacing w:after="0" w:line="240" w:lineRule="auto"/>
        <w:jc w:val="both"/>
        <w:rPr>
          <w:i/>
          <w:lang w:val="es-ES_tradnl"/>
        </w:rPr>
      </w:pPr>
    </w:p>
    <w:p w:rsidR="00D77A87" w:rsidRDefault="00D77A87"/>
    <w:sectPr w:rsidR="00D77A87" w:rsidSect="00815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ork Sans Light">
    <w:altName w:val="Calibri"/>
    <w:panose1 w:val="020B0604020202020204"/>
    <w:charset w:val="00"/>
    <w:family w:val="moder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20B0604020202020204"/>
    <w:charset w:val="00"/>
    <w:family w:val="roman"/>
    <w:notTrueType/>
    <w:pitch w:val="default"/>
  </w:font>
  <w:font w:name="Montserrat">
    <w:altName w:val="Calibri"/>
    <w:panose1 w:val="020B0604020202020204"/>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B32"/>
    <w:multiLevelType w:val="hybridMultilevel"/>
    <w:tmpl w:val="19C89786"/>
    <w:lvl w:ilvl="0" w:tplc="73C8549A">
      <w:start w:val="1"/>
      <w:numFmt w:val="lowerLetter"/>
      <w:lvlText w:val="%1)"/>
      <w:lvlJc w:val="left"/>
      <w:pPr>
        <w:tabs>
          <w:tab w:val="num" w:pos="720"/>
        </w:tabs>
        <w:ind w:left="720" w:hanging="360"/>
      </w:pPr>
    </w:lvl>
    <w:lvl w:ilvl="1" w:tplc="2F3EE77C" w:tentative="1">
      <w:start w:val="1"/>
      <w:numFmt w:val="lowerLetter"/>
      <w:lvlText w:val="%2)"/>
      <w:lvlJc w:val="left"/>
      <w:pPr>
        <w:tabs>
          <w:tab w:val="num" w:pos="1440"/>
        </w:tabs>
        <w:ind w:left="1440" w:hanging="360"/>
      </w:pPr>
    </w:lvl>
    <w:lvl w:ilvl="2" w:tplc="28BCF9D8" w:tentative="1">
      <w:start w:val="1"/>
      <w:numFmt w:val="lowerLetter"/>
      <w:lvlText w:val="%3)"/>
      <w:lvlJc w:val="left"/>
      <w:pPr>
        <w:tabs>
          <w:tab w:val="num" w:pos="2160"/>
        </w:tabs>
        <w:ind w:left="2160" w:hanging="360"/>
      </w:pPr>
    </w:lvl>
    <w:lvl w:ilvl="3" w:tplc="8D569402" w:tentative="1">
      <w:start w:val="1"/>
      <w:numFmt w:val="lowerLetter"/>
      <w:lvlText w:val="%4)"/>
      <w:lvlJc w:val="left"/>
      <w:pPr>
        <w:tabs>
          <w:tab w:val="num" w:pos="2880"/>
        </w:tabs>
        <w:ind w:left="2880" w:hanging="360"/>
      </w:pPr>
    </w:lvl>
    <w:lvl w:ilvl="4" w:tplc="76B8D0BE" w:tentative="1">
      <w:start w:val="1"/>
      <w:numFmt w:val="lowerLetter"/>
      <w:lvlText w:val="%5)"/>
      <w:lvlJc w:val="left"/>
      <w:pPr>
        <w:tabs>
          <w:tab w:val="num" w:pos="3600"/>
        </w:tabs>
        <w:ind w:left="3600" w:hanging="360"/>
      </w:pPr>
    </w:lvl>
    <w:lvl w:ilvl="5" w:tplc="87B8062E" w:tentative="1">
      <w:start w:val="1"/>
      <w:numFmt w:val="lowerLetter"/>
      <w:lvlText w:val="%6)"/>
      <w:lvlJc w:val="left"/>
      <w:pPr>
        <w:tabs>
          <w:tab w:val="num" w:pos="4320"/>
        </w:tabs>
        <w:ind w:left="4320" w:hanging="360"/>
      </w:pPr>
    </w:lvl>
    <w:lvl w:ilvl="6" w:tplc="8E90CB56" w:tentative="1">
      <w:start w:val="1"/>
      <w:numFmt w:val="lowerLetter"/>
      <w:lvlText w:val="%7)"/>
      <w:lvlJc w:val="left"/>
      <w:pPr>
        <w:tabs>
          <w:tab w:val="num" w:pos="5040"/>
        </w:tabs>
        <w:ind w:left="5040" w:hanging="360"/>
      </w:pPr>
    </w:lvl>
    <w:lvl w:ilvl="7" w:tplc="56A45F1C" w:tentative="1">
      <w:start w:val="1"/>
      <w:numFmt w:val="lowerLetter"/>
      <w:lvlText w:val="%8)"/>
      <w:lvlJc w:val="left"/>
      <w:pPr>
        <w:tabs>
          <w:tab w:val="num" w:pos="5760"/>
        </w:tabs>
        <w:ind w:left="5760" w:hanging="360"/>
      </w:pPr>
    </w:lvl>
    <w:lvl w:ilvl="8" w:tplc="216A5B22" w:tentative="1">
      <w:start w:val="1"/>
      <w:numFmt w:val="lowerLetter"/>
      <w:lvlText w:val="%9)"/>
      <w:lvlJc w:val="left"/>
      <w:pPr>
        <w:tabs>
          <w:tab w:val="num" w:pos="6480"/>
        </w:tabs>
        <w:ind w:left="6480" w:hanging="360"/>
      </w:pPr>
    </w:lvl>
  </w:abstractNum>
  <w:abstractNum w:abstractNumId="1" w15:restartNumberingAfterBreak="0">
    <w:nsid w:val="084A2516"/>
    <w:multiLevelType w:val="hybridMultilevel"/>
    <w:tmpl w:val="844AAFB6"/>
    <w:lvl w:ilvl="0" w:tplc="4FC00582">
      <w:start w:val="1"/>
      <w:numFmt w:val="lowerLetter"/>
      <w:lvlText w:val="%1)"/>
      <w:lvlJc w:val="left"/>
      <w:pPr>
        <w:ind w:left="720" w:hanging="360"/>
      </w:pPr>
      <w:rPr>
        <w:b w:val="0"/>
      </w:rPr>
    </w:lvl>
    <w:lvl w:ilvl="1" w:tplc="251060AC">
      <w:start w:val="1"/>
      <w:numFmt w:val="decimal"/>
      <w:lvlText w:val="%2."/>
      <w:lvlJc w:val="left"/>
      <w:pPr>
        <w:ind w:left="1440" w:hanging="360"/>
      </w:pPr>
      <w:rPr>
        <w:rFonts w:ascii="Arial" w:eastAsia="Times New Roman" w:hAnsi="Arial"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E7F51"/>
    <w:multiLevelType w:val="hybridMultilevel"/>
    <w:tmpl w:val="19C89786"/>
    <w:lvl w:ilvl="0" w:tplc="73C8549A">
      <w:start w:val="1"/>
      <w:numFmt w:val="lowerLetter"/>
      <w:lvlText w:val="%1)"/>
      <w:lvlJc w:val="left"/>
      <w:pPr>
        <w:tabs>
          <w:tab w:val="num" w:pos="720"/>
        </w:tabs>
        <w:ind w:left="720" w:hanging="360"/>
      </w:pPr>
    </w:lvl>
    <w:lvl w:ilvl="1" w:tplc="2F3EE77C" w:tentative="1">
      <w:start w:val="1"/>
      <w:numFmt w:val="lowerLetter"/>
      <w:lvlText w:val="%2)"/>
      <w:lvlJc w:val="left"/>
      <w:pPr>
        <w:tabs>
          <w:tab w:val="num" w:pos="1440"/>
        </w:tabs>
        <w:ind w:left="1440" w:hanging="360"/>
      </w:pPr>
    </w:lvl>
    <w:lvl w:ilvl="2" w:tplc="28BCF9D8" w:tentative="1">
      <w:start w:val="1"/>
      <w:numFmt w:val="lowerLetter"/>
      <w:lvlText w:val="%3)"/>
      <w:lvlJc w:val="left"/>
      <w:pPr>
        <w:tabs>
          <w:tab w:val="num" w:pos="2160"/>
        </w:tabs>
        <w:ind w:left="2160" w:hanging="360"/>
      </w:pPr>
    </w:lvl>
    <w:lvl w:ilvl="3" w:tplc="8D569402" w:tentative="1">
      <w:start w:val="1"/>
      <w:numFmt w:val="lowerLetter"/>
      <w:lvlText w:val="%4)"/>
      <w:lvlJc w:val="left"/>
      <w:pPr>
        <w:tabs>
          <w:tab w:val="num" w:pos="2880"/>
        </w:tabs>
        <w:ind w:left="2880" w:hanging="360"/>
      </w:pPr>
    </w:lvl>
    <w:lvl w:ilvl="4" w:tplc="76B8D0BE" w:tentative="1">
      <w:start w:val="1"/>
      <w:numFmt w:val="lowerLetter"/>
      <w:lvlText w:val="%5)"/>
      <w:lvlJc w:val="left"/>
      <w:pPr>
        <w:tabs>
          <w:tab w:val="num" w:pos="3600"/>
        </w:tabs>
        <w:ind w:left="3600" w:hanging="360"/>
      </w:pPr>
    </w:lvl>
    <w:lvl w:ilvl="5" w:tplc="87B8062E" w:tentative="1">
      <w:start w:val="1"/>
      <w:numFmt w:val="lowerLetter"/>
      <w:lvlText w:val="%6)"/>
      <w:lvlJc w:val="left"/>
      <w:pPr>
        <w:tabs>
          <w:tab w:val="num" w:pos="4320"/>
        </w:tabs>
        <w:ind w:left="4320" w:hanging="360"/>
      </w:pPr>
    </w:lvl>
    <w:lvl w:ilvl="6" w:tplc="8E90CB56" w:tentative="1">
      <w:start w:val="1"/>
      <w:numFmt w:val="lowerLetter"/>
      <w:lvlText w:val="%7)"/>
      <w:lvlJc w:val="left"/>
      <w:pPr>
        <w:tabs>
          <w:tab w:val="num" w:pos="5040"/>
        </w:tabs>
        <w:ind w:left="5040" w:hanging="360"/>
      </w:pPr>
    </w:lvl>
    <w:lvl w:ilvl="7" w:tplc="56A45F1C" w:tentative="1">
      <w:start w:val="1"/>
      <w:numFmt w:val="lowerLetter"/>
      <w:lvlText w:val="%8)"/>
      <w:lvlJc w:val="left"/>
      <w:pPr>
        <w:tabs>
          <w:tab w:val="num" w:pos="5760"/>
        </w:tabs>
        <w:ind w:left="5760" w:hanging="360"/>
      </w:pPr>
    </w:lvl>
    <w:lvl w:ilvl="8" w:tplc="216A5B22" w:tentative="1">
      <w:start w:val="1"/>
      <w:numFmt w:val="lowerLetter"/>
      <w:lvlText w:val="%9)"/>
      <w:lvlJc w:val="left"/>
      <w:pPr>
        <w:tabs>
          <w:tab w:val="num" w:pos="6480"/>
        </w:tabs>
        <w:ind w:left="6480" w:hanging="360"/>
      </w:pPr>
    </w:lvl>
  </w:abstractNum>
  <w:abstractNum w:abstractNumId="3" w15:restartNumberingAfterBreak="0">
    <w:nsid w:val="13C939BC"/>
    <w:multiLevelType w:val="multilevel"/>
    <w:tmpl w:val="369204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A608E"/>
    <w:multiLevelType w:val="hybridMultilevel"/>
    <w:tmpl w:val="A6D0EA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9D287E"/>
    <w:multiLevelType w:val="hybridMultilevel"/>
    <w:tmpl w:val="58BA4CE2"/>
    <w:lvl w:ilvl="0" w:tplc="D9B81C96">
      <w:start w:val="1"/>
      <w:numFmt w:val="lowerLetter"/>
      <w:lvlText w:val="%1)"/>
      <w:lvlJc w:val="left"/>
      <w:pPr>
        <w:tabs>
          <w:tab w:val="num" w:pos="720"/>
        </w:tabs>
        <w:ind w:left="720" w:hanging="360"/>
      </w:pPr>
    </w:lvl>
    <w:lvl w:ilvl="1" w:tplc="FF1A1AD0" w:tentative="1">
      <w:start w:val="1"/>
      <w:numFmt w:val="lowerLetter"/>
      <w:lvlText w:val="%2)"/>
      <w:lvlJc w:val="left"/>
      <w:pPr>
        <w:tabs>
          <w:tab w:val="num" w:pos="1440"/>
        </w:tabs>
        <w:ind w:left="1440" w:hanging="360"/>
      </w:pPr>
    </w:lvl>
    <w:lvl w:ilvl="2" w:tplc="2570A128" w:tentative="1">
      <w:start w:val="1"/>
      <w:numFmt w:val="lowerLetter"/>
      <w:lvlText w:val="%3)"/>
      <w:lvlJc w:val="left"/>
      <w:pPr>
        <w:tabs>
          <w:tab w:val="num" w:pos="2160"/>
        </w:tabs>
        <w:ind w:left="2160" w:hanging="360"/>
      </w:pPr>
    </w:lvl>
    <w:lvl w:ilvl="3" w:tplc="256ADB9A" w:tentative="1">
      <w:start w:val="1"/>
      <w:numFmt w:val="lowerLetter"/>
      <w:lvlText w:val="%4)"/>
      <w:lvlJc w:val="left"/>
      <w:pPr>
        <w:tabs>
          <w:tab w:val="num" w:pos="2880"/>
        </w:tabs>
        <w:ind w:left="2880" w:hanging="360"/>
      </w:pPr>
    </w:lvl>
    <w:lvl w:ilvl="4" w:tplc="3A4E1D32" w:tentative="1">
      <w:start w:val="1"/>
      <w:numFmt w:val="lowerLetter"/>
      <w:lvlText w:val="%5)"/>
      <w:lvlJc w:val="left"/>
      <w:pPr>
        <w:tabs>
          <w:tab w:val="num" w:pos="3600"/>
        </w:tabs>
        <w:ind w:left="3600" w:hanging="360"/>
      </w:pPr>
    </w:lvl>
    <w:lvl w:ilvl="5" w:tplc="59B04472" w:tentative="1">
      <w:start w:val="1"/>
      <w:numFmt w:val="lowerLetter"/>
      <w:lvlText w:val="%6)"/>
      <w:lvlJc w:val="left"/>
      <w:pPr>
        <w:tabs>
          <w:tab w:val="num" w:pos="4320"/>
        </w:tabs>
        <w:ind w:left="4320" w:hanging="360"/>
      </w:pPr>
    </w:lvl>
    <w:lvl w:ilvl="6" w:tplc="507E87D4" w:tentative="1">
      <w:start w:val="1"/>
      <w:numFmt w:val="lowerLetter"/>
      <w:lvlText w:val="%7)"/>
      <w:lvlJc w:val="left"/>
      <w:pPr>
        <w:tabs>
          <w:tab w:val="num" w:pos="5040"/>
        </w:tabs>
        <w:ind w:left="5040" w:hanging="360"/>
      </w:pPr>
    </w:lvl>
    <w:lvl w:ilvl="7" w:tplc="4A3A0EB0" w:tentative="1">
      <w:start w:val="1"/>
      <w:numFmt w:val="lowerLetter"/>
      <w:lvlText w:val="%8)"/>
      <w:lvlJc w:val="left"/>
      <w:pPr>
        <w:tabs>
          <w:tab w:val="num" w:pos="5760"/>
        </w:tabs>
        <w:ind w:left="5760" w:hanging="360"/>
      </w:pPr>
    </w:lvl>
    <w:lvl w:ilvl="8" w:tplc="F4AC060C" w:tentative="1">
      <w:start w:val="1"/>
      <w:numFmt w:val="lowerLetter"/>
      <w:lvlText w:val="%9)"/>
      <w:lvlJc w:val="left"/>
      <w:pPr>
        <w:tabs>
          <w:tab w:val="num" w:pos="6480"/>
        </w:tabs>
        <w:ind w:left="6480" w:hanging="360"/>
      </w:pPr>
    </w:lvl>
  </w:abstractNum>
  <w:abstractNum w:abstractNumId="6" w15:restartNumberingAfterBreak="0">
    <w:nsid w:val="1DB54D12"/>
    <w:multiLevelType w:val="multilevel"/>
    <w:tmpl w:val="D00A9F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83681D"/>
    <w:multiLevelType w:val="hybridMultilevel"/>
    <w:tmpl w:val="25407D76"/>
    <w:lvl w:ilvl="0" w:tplc="4F18CBE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0A7E32"/>
    <w:multiLevelType w:val="hybridMultilevel"/>
    <w:tmpl w:val="673493FA"/>
    <w:lvl w:ilvl="0" w:tplc="1BD8B4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8C4823"/>
    <w:multiLevelType w:val="hybridMultilevel"/>
    <w:tmpl w:val="FC32BBA2"/>
    <w:lvl w:ilvl="0" w:tplc="E95AE5BA">
      <w:start w:val="1"/>
      <w:numFmt w:val="lowerLetter"/>
      <w:lvlText w:val="%1)"/>
      <w:lvlJc w:val="left"/>
      <w:pPr>
        <w:ind w:left="720" w:hanging="360"/>
      </w:pPr>
      <w:rPr>
        <w:b w:val="0"/>
      </w:rPr>
    </w:lvl>
    <w:lvl w:ilvl="1" w:tplc="251060AC">
      <w:start w:val="1"/>
      <w:numFmt w:val="decimal"/>
      <w:lvlText w:val="%2."/>
      <w:lvlJc w:val="left"/>
      <w:pPr>
        <w:ind w:left="1440" w:hanging="360"/>
      </w:pPr>
      <w:rPr>
        <w:rFonts w:ascii="Arial" w:eastAsia="Times New Roman" w:hAnsi="Arial"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DB7452"/>
    <w:multiLevelType w:val="hybridMultilevel"/>
    <w:tmpl w:val="A642A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CE793F"/>
    <w:multiLevelType w:val="hybridMultilevel"/>
    <w:tmpl w:val="551A5584"/>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55304C16"/>
    <w:multiLevelType w:val="hybridMultilevel"/>
    <w:tmpl w:val="54A01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179EA"/>
    <w:multiLevelType w:val="hybridMultilevel"/>
    <w:tmpl w:val="23F2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30BF0"/>
    <w:multiLevelType w:val="hybridMultilevel"/>
    <w:tmpl w:val="8BA6C7DC"/>
    <w:lvl w:ilvl="0" w:tplc="71C075AA">
      <w:start w:val="1"/>
      <w:numFmt w:val="decimal"/>
      <w:lvlText w:val="%1."/>
      <w:lvlJc w:val="right"/>
      <w:pPr>
        <w:ind w:left="1146" w:hanging="360"/>
      </w:pPr>
      <w:rPr>
        <w:rFonts w:hint="default"/>
        <w:b w:val="0"/>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15:restartNumberingAfterBreak="0">
    <w:nsid w:val="5DD62825"/>
    <w:multiLevelType w:val="hybridMultilevel"/>
    <w:tmpl w:val="5130F2DC"/>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65ED75D3"/>
    <w:multiLevelType w:val="multilevel"/>
    <w:tmpl w:val="2A869F4C"/>
    <w:lvl w:ilvl="0">
      <w:start w:val="1"/>
      <w:numFmt w:val="decimal"/>
      <w:lvlText w:val="%1."/>
      <w:lvlJc w:val="left"/>
      <w:pPr>
        <w:ind w:left="720" w:hanging="360"/>
      </w:pPr>
      <w:rPr>
        <w:rFonts w:ascii="Arial" w:eastAsia="Arial" w:hAnsi="Arial" w:cs="Arial"/>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9094128"/>
    <w:multiLevelType w:val="multilevel"/>
    <w:tmpl w:val="640C7B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C33E27"/>
    <w:multiLevelType w:val="hybridMultilevel"/>
    <w:tmpl w:val="58BA4CE2"/>
    <w:lvl w:ilvl="0" w:tplc="D9B81C96">
      <w:start w:val="1"/>
      <w:numFmt w:val="lowerLetter"/>
      <w:lvlText w:val="%1)"/>
      <w:lvlJc w:val="left"/>
      <w:pPr>
        <w:tabs>
          <w:tab w:val="num" w:pos="720"/>
        </w:tabs>
        <w:ind w:left="720" w:hanging="360"/>
      </w:pPr>
    </w:lvl>
    <w:lvl w:ilvl="1" w:tplc="FF1A1AD0" w:tentative="1">
      <w:start w:val="1"/>
      <w:numFmt w:val="lowerLetter"/>
      <w:lvlText w:val="%2)"/>
      <w:lvlJc w:val="left"/>
      <w:pPr>
        <w:tabs>
          <w:tab w:val="num" w:pos="1440"/>
        </w:tabs>
        <w:ind w:left="1440" w:hanging="360"/>
      </w:pPr>
    </w:lvl>
    <w:lvl w:ilvl="2" w:tplc="2570A128" w:tentative="1">
      <w:start w:val="1"/>
      <w:numFmt w:val="lowerLetter"/>
      <w:lvlText w:val="%3)"/>
      <w:lvlJc w:val="left"/>
      <w:pPr>
        <w:tabs>
          <w:tab w:val="num" w:pos="2160"/>
        </w:tabs>
        <w:ind w:left="2160" w:hanging="360"/>
      </w:pPr>
    </w:lvl>
    <w:lvl w:ilvl="3" w:tplc="256ADB9A" w:tentative="1">
      <w:start w:val="1"/>
      <w:numFmt w:val="lowerLetter"/>
      <w:lvlText w:val="%4)"/>
      <w:lvlJc w:val="left"/>
      <w:pPr>
        <w:tabs>
          <w:tab w:val="num" w:pos="2880"/>
        </w:tabs>
        <w:ind w:left="2880" w:hanging="360"/>
      </w:pPr>
    </w:lvl>
    <w:lvl w:ilvl="4" w:tplc="3A4E1D32" w:tentative="1">
      <w:start w:val="1"/>
      <w:numFmt w:val="lowerLetter"/>
      <w:lvlText w:val="%5)"/>
      <w:lvlJc w:val="left"/>
      <w:pPr>
        <w:tabs>
          <w:tab w:val="num" w:pos="3600"/>
        </w:tabs>
        <w:ind w:left="3600" w:hanging="360"/>
      </w:pPr>
    </w:lvl>
    <w:lvl w:ilvl="5" w:tplc="59B04472" w:tentative="1">
      <w:start w:val="1"/>
      <w:numFmt w:val="lowerLetter"/>
      <w:lvlText w:val="%6)"/>
      <w:lvlJc w:val="left"/>
      <w:pPr>
        <w:tabs>
          <w:tab w:val="num" w:pos="4320"/>
        </w:tabs>
        <w:ind w:left="4320" w:hanging="360"/>
      </w:pPr>
    </w:lvl>
    <w:lvl w:ilvl="6" w:tplc="507E87D4" w:tentative="1">
      <w:start w:val="1"/>
      <w:numFmt w:val="lowerLetter"/>
      <w:lvlText w:val="%7)"/>
      <w:lvlJc w:val="left"/>
      <w:pPr>
        <w:tabs>
          <w:tab w:val="num" w:pos="5040"/>
        </w:tabs>
        <w:ind w:left="5040" w:hanging="360"/>
      </w:pPr>
    </w:lvl>
    <w:lvl w:ilvl="7" w:tplc="4A3A0EB0" w:tentative="1">
      <w:start w:val="1"/>
      <w:numFmt w:val="lowerLetter"/>
      <w:lvlText w:val="%8)"/>
      <w:lvlJc w:val="left"/>
      <w:pPr>
        <w:tabs>
          <w:tab w:val="num" w:pos="5760"/>
        </w:tabs>
        <w:ind w:left="5760" w:hanging="360"/>
      </w:pPr>
    </w:lvl>
    <w:lvl w:ilvl="8" w:tplc="F4AC060C" w:tentative="1">
      <w:start w:val="1"/>
      <w:numFmt w:val="lowerLetter"/>
      <w:lvlText w:val="%9)"/>
      <w:lvlJc w:val="left"/>
      <w:pPr>
        <w:tabs>
          <w:tab w:val="num" w:pos="6480"/>
        </w:tabs>
        <w:ind w:left="6480" w:hanging="360"/>
      </w:pPr>
    </w:lvl>
  </w:abstractNum>
  <w:abstractNum w:abstractNumId="19" w15:restartNumberingAfterBreak="0">
    <w:nsid w:val="7A304DAE"/>
    <w:multiLevelType w:val="hybridMultilevel"/>
    <w:tmpl w:val="21D2BCEE"/>
    <w:lvl w:ilvl="0" w:tplc="8B1633FE">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7"/>
  </w:num>
  <w:num w:numId="5">
    <w:abstractNumId w:val="3"/>
  </w:num>
  <w:num w:numId="6">
    <w:abstractNumId w:val="7"/>
  </w:num>
  <w:num w:numId="7">
    <w:abstractNumId w:val="2"/>
  </w:num>
  <w:num w:numId="8">
    <w:abstractNumId w:val="10"/>
  </w:num>
  <w:num w:numId="9">
    <w:abstractNumId w:val="13"/>
  </w:num>
  <w:num w:numId="10">
    <w:abstractNumId w:val="9"/>
  </w:num>
  <w:num w:numId="11">
    <w:abstractNumId w:val="1"/>
  </w:num>
  <w:num w:numId="12">
    <w:abstractNumId w:val="19"/>
  </w:num>
  <w:num w:numId="13">
    <w:abstractNumId w:val="11"/>
  </w:num>
  <w:num w:numId="14">
    <w:abstractNumId w:val="15"/>
  </w:num>
  <w:num w:numId="15">
    <w:abstractNumId w:val="14"/>
  </w:num>
  <w:num w:numId="16">
    <w:abstractNumId w:val="12"/>
  </w:num>
  <w:num w:numId="17">
    <w:abstractNumId w:val="5"/>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FF"/>
    <w:rsid w:val="00086C6D"/>
    <w:rsid w:val="003F6074"/>
    <w:rsid w:val="00815A19"/>
    <w:rsid w:val="00AC14D1"/>
    <w:rsid w:val="00D77A87"/>
    <w:rsid w:val="00EC45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B39D6E4"/>
  <w15:chartTrackingRefBased/>
  <w15:docId w15:val="{734249BF-BE57-1C44-9F22-4316279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5FF"/>
    <w:pPr>
      <w:spacing w:after="160" w:line="259" w:lineRule="auto"/>
    </w:pPr>
    <w:rPr>
      <w:rFonts w:ascii="Arial" w:eastAsia="Arial" w:hAnsi="Arial" w:cs="Arial"/>
      <w:sz w:val="22"/>
      <w:szCs w:val="22"/>
      <w:lang w:val="uz-Cyrl-UZ" w:eastAsia="es-ES"/>
    </w:rPr>
  </w:style>
  <w:style w:type="paragraph" w:styleId="Ttulo1">
    <w:name w:val="heading 1"/>
    <w:basedOn w:val="Normal1"/>
    <w:next w:val="Normal1"/>
    <w:link w:val="Ttulo1Car"/>
    <w:uiPriority w:val="9"/>
    <w:qFormat/>
    <w:rsid w:val="00EC45FF"/>
    <w:pPr>
      <w:keepNext/>
      <w:keepLines/>
      <w:spacing w:before="400" w:after="120" w:line="276" w:lineRule="auto"/>
      <w:outlineLvl w:val="0"/>
    </w:pPr>
    <w:rPr>
      <w:sz w:val="40"/>
      <w:szCs w:val="40"/>
    </w:rPr>
  </w:style>
  <w:style w:type="paragraph" w:styleId="Ttulo2">
    <w:name w:val="heading 2"/>
    <w:basedOn w:val="Normal1"/>
    <w:next w:val="Normal1"/>
    <w:link w:val="Ttulo2Car"/>
    <w:qFormat/>
    <w:rsid w:val="00EC45FF"/>
    <w:pPr>
      <w:keepNext/>
      <w:keepLines/>
      <w:spacing w:before="360" w:after="120" w:line="276" w:lineRule="auto"/>
      <w:outlineLvl w:val="1"/>
    </w:pPr>
    <w:rPr>
      <w:sz w:val="32"/>
      <w:szCs w:val="32"/>
    </w:rPr>
  </w:style>
  <w:style w:type="paragraph" w:styleId="Ttulo3">
    <w:name w:val="heading 3"/>
    <w:basedOn w:val="Normal1"/>
    <w:next w:val="Normal1"/>
    <w:link w:val="Ttulo3Car"/>
    <w:qFormat/>
    <w:rsid w:val="00EC45FF"/>
    <w:pPr>
      <w:keepNext/>
      <w:keepLines/>
      <w:spacing w:before="320" w:after="80" w:line="276" w:lineRule="auto"/>
      <w:outlineLvl w:val="2"/>
    </w:pPr>
    <w:rPr>
      <w:color w:val="434343"/>
      <w:sz w:val="28"/>
      <w:szCs w:val="28"/>
    </w:rPr>
  </w:style>
  <w:style w:type="paragraph" w:styleId="Ttulo4">
    <w:name w:val="heading 4"/>
    <w:basedOn w:val="Normal1"/>
    <w:next w:val="Normal1"/>
    <w:link w:val="Ttulo4Car"/>
    <w:qFormat/>
    <w:rsid w:val="00EC45FF"/>
    <w:pPr>
      <w:keepNext/>
      <w:keepLines/>
      <w:spacing w:before="280" w:after="80" w:line="276" w:lineRule="auto"/>
      <w:outlineLvl w:val="3"/>
    </w:pPr>
    <w:rPr>
      <w:color w:val="666666"/>
      <w:sz w:val="24"/>
      <w:szCs w:val="24"/>
    </w:rPr>
  </w:style>
  <w:style w:type="paragraph" w:styleId="Ttulo5">
    <w:name w:val="heading 5"/>
    <w:basedOn w:val="Normal1"/>
    <w:next w:val="Normal1"/>
    <w:link w:val="Ttulo5Car"/>
    <w:qFormat/>
    <w:rsid w:val="00EC45FF"/>
    <w:pPr>
      <w:keepNext/>
      <w:keepLines/>
      <w:spacing w:before="240" w:after="80" w:line="276" w:lineRule="auto"/>
      <w:outlineLvl w:val="4"/>
    </w:pPr>
    <w:rPr>
      <w:color w:val="666666"/>
    </w:rPr>
  </w:style>
  <w:style w:type="paragraph" w:styleId="Ttulo6">
    <w:name w:val="heading 6"/>
    <w:basedOn w:val="Normal1"/>
    <w:next w:val="Normal1"/>
    <w:link w:val="Ttulo6Car"/>
    <w:qFormat/>
    <w:rsid w:val="00EC45FF"/>
    <w:pPr>
      <w:keepNext/>
      <w:keepLines/>
      <w:spacing w:before="240" w:after="80" w:line="276"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45FF"/>
    <w:rPr>
      <w:rFonts w:ascii="Arial" w:eastAsia="Arial" w:hAnsi="Arial" w:cs="Arial"/>
      <w:sz w:val="40"/>
      <w:szCs w:val="40"/>
      <w:lang w:val="uz-Cyrl-UZ" w:eastAsia="es-ES"/>
    </w:rPr>
  </w:style>
  <w:style w:type="character" w:customStyle="1" w:styleId="Ttulo2Car">
    <w:name w:val="Título 2 Car"/>
    <w:basedOn w:val="Fuentedeprrafopredeter"/>
    <w:link w:val="Ttulo2"/>
    <w:rsid w:val="00EC45FF"/>
    <w:rPr>
      <w:rFonts w:ascii="Arial" w:eastAsia="Arial" w:hAnsi="Arial" w:cs="Arial"/>
      <w:sz w:val="32"/>
      <w:szCs w:val="32"/>
      <w:lang w:val="uz-Cyrl-UZ" w:eastAsia="es-ES"/>
    </w:rPr>
  </w:style>
  <w:style w:type="character" w:customStyle="1" w:styleId="Ttulo3Car">
    <w:name w:val="Título 3 Car"/>
    <w:basedOn w:val="Fuentedeprrafopredeter"/>
    <w:link w:val="Ttulo3"/>
    <w:rsid w:val="00EC45FF"/>
    <w:rPr>
      <w:rFonts w:ascii="Arial" w:eastAsia="Arial" w:hAnsi="Arial" w:cs="Arial"/>
      <w:color w:val="434343"/>
      <w:sz w:val="28"/>
      <w:szCs w:val="28"/>
      <w:lang w:val="uz-Cyrl-UZ" w:eastAsia="es-ES"/>
    </w:rPr>
  </w:style>
  <w:style w:type="character" w:customStyle="1" w:styleId="Ttulo4Car">
    <w:name w:val="Título 4 Car"/>
    <w:basedOn w:val="Fuentedeprrafopredeter"/>
    <w:link w:val="Ttulo4"/>
    <w:rsid w:val="00EC45FF"/>
    <w:rPr>
      <w:rFonts w:ascii="Arial" w:eastAsia="Arial" w:hAnsi="Arial" w:cs="Arial"/>
      <w:color w:val="666666"/>
      <w:lang w:val="uz-Cyrl-UZ" w:eastAsia="es-ES"/>
    </w:rPr>
  </w:style>
  <w:style w:type="character" w:customStyle="1" w:styleId="Ttulo5Car">
    <w:name w:val="Título 5 Car"/>
    <w:basedOn w:val="Fuentedeprrafopredeter"/>
    <w:link w:val="Ttulo5"/>
    <w:rsid w:val="00EC45FF"/>
    <w:rPr>
      <w:rFonts w:ascii="Arial" w:eastAsia="Arial" w:hAnsi="Arial" w:cs="Arial"/>
      <w:color w:val="666666"/>
      <w:sz w:val="22"/>
      <w:szCs w:val="22"/>
      <w:lang w:val="uz-Cyrl-UZ" w:eastAsia="es-ES"/>
    </w:rPr>
  </w:style>
  <w:style w:type="character" w:customStyle="1" w:styleId="Ttulo6Car">
    <w:name w:val="Título 6 Car"/>
    <w:basedOn w:val="Fuentedeprrafopredeter"/>
    <w:link w:val="Ttulo6"/>
    <w:rsid w:val="00EC45FF"/>
    <w:rPr>
      <w:rFonts w:ascii="Arial" w:eastAsia="Arial" w:hAnsi="Arial" w:cs="Arial"/>
      <w:i/>
      <w:color w:val="666666"/>
      <w:sz w:val="22"/>
      <w:szCs w:val="22"/>
      <w:lang w:val="uz-Cyrl-UZ" w:eastAsia="es-ES"/>
    </w:rPr>
  </w:style>
  <w:style w:type="paragraph" w:customStyle="1" w:styleId="Normal1">
    <w:name w:val="Normal1"/>
    <w:rsid w:val="00EC45FF"/>
    <w:pPr>
      <w:spacing w:after="160" w:line="259" w:lineRule="auto"/>
    </w:pPr>
    <w:rPr>
      <w:rFonts w:ascii="Arial" w:eastAsia="Arial" w:hAnsi="Arial" w:cs="Arial"/>
      <w:sz w:val="22"/>
      <w:szCs w:val="22"/>
      <w:lang w:val="uz-Cyrl-UZ" w:eastAsia="es-ES"/>
    </w:rPr>
  </w:style>
  <w:style w:type="table" w:customStyle="1" w:styleId="TableNormal">
    <w:name w:val="Table Normal"/>
    <w:rsid w:val="00EC45FF"/>
    <w:pPr>
      <w:spacing w:after="160" w:line="259" w:lineRule="auto"/>
    </w:pPr>
    <w:rPr>
      <w:rFonts w:ascii="Arial" w:eastAsia="Arial" w:hAnsi="Arial" w:cs="Arial"/>
      <w:sz w:val="22"/>
      <w:szCs w:val="22"/>
      <w:lang w:val="uz-Cyrl-UZ" w:eastAsia="es-ES"/>
    </w:rPr>
    <w:tblPr>
      <w:tblCellMar>
        <w:top w:w="0" w:type="dxa"/>
        <w:left w:w="0" w:type="dxa"/>
        <w:bottom w:w="0" w:type="dxa"/>
        <w:right w:w="0" w:type="dxa"/>
      </w:tblCellMar>
    </w:tblPr>
  </w:style>
  <w:style w:type="paragraph" w:styleId="Ttulo">
    <w:name w:val="Title"/>
    <w:basedOn w:val="Normal1"/>
    <w:next w:val="Normal1"/>
    <w:link w:val="TtuloCar"/>
    <w:qFormat/>
    <w:rsid w:val="00EC45FF"/>
    <w:pPr>
      <w:keepNext/>
      <w:keepLines/>
      <w:spacing w:after="60" w:line="276" w:lineRule="auto"/>
    </w:pPr>
    <w:rPr>
      <w:sz w:val="52"/>
      <w:szCs w:val="52"/>
    </w:rPr>
  </w:style>
  <w:style w:type="character" w:customStyle="1" w:styleId="TtuloCar">
    <w:name w:val="Título Car"/>
    <w:basedOn w:val="Fuentedeprrafopredeter"/>
    <w:link w:val="Ttulo"/>
    <w:rsid w:val="00EC45FF"/>
    <w:rPr>
      <w:rFonts w:ascii="Arial" w:eastAsia="Arial" w:hAnsi="Arial" w:cs="Arial"/>
      <w:sz w:val="52"/>
      <w:szCs w:val="52"/>
      <w:lang w:val="uz-Cyrl-UZ" w:eastAsia="es-ES"/>
    </w:rPr>
  </w:style>
  <w:style w:type="paragraph" w:styleId="Subttulo">
    <w:name w:val="Subtitle"/>
    <w:basedOn w:val="Normal1"/>
    <w:next w:val="Normal1"/>
    <w:link w:val="SubttuloCar"/>
    <w:qFormat/>
    <w:rsid w:val="00EC45FF"/>
    <w:pPr>
      <w:keepNext/>
      <w:keepLines/>
      <w:spacing w:after="320" w:line="276" w:lineRule="auto"/>
    </w:pPr>
    <w:rPr>
      <w:color w:val="666666"/>
      <w:sz w:val="30"/>
      <w:szCs w:val="30"/>
    </w:rPr>
  </w:style>
  <w:style w:type="character" w:customStyle="1" w:styleId="SubttuloCar">
    <w:name w:val="Subtítulo Car"/>
    <w:basedOn w:val="Fuentedeprrafopredeter"/>
    <w:link w:val="Subttulo"/>
    <w:rsid w:val="00EC45FF"/>
    <w:rPr>
      <w:rFonts w:ascii="Arial" w:eastAsia="Arial" w:hAnsi="Arial" w:cs="Arial"/>
      <w:color w:val="666666"/>
      <w:sz w:val="30"/>
      <w:szCs w:val="30"/>
      <w:lang w:val="uz-Cyrl-UZ" w:eastAsia="es-ES"/>
    </w:rPr>
  </w:style>
  <w:style w:type="table" w:styleId="Tablaconcuadrcula">
    <w:name w:val="Table Grid"/>
    <w:basedOn w:val="Tablanormal"/>
    <w:uiPriority w:val="39"/>
    <w:rsid w:val="00EC45F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5"/>
    <w:basedOn w:val="Normal"/>
    <w:link w:val="PrrafodelistaCar"/>
    <w:uiPriority w:val="34"/>
    <w:qFormat/>
    <w:rsid w:val="00EC45FF"/>
    <w:pPr>
      <w:ind w:left="720"/>
      <w:contextualSpacing/>
    </w:pPr>
    <w:rPr>
      <w:rFonts w:asciiTheme="minorHAnsi" w:eastAsiaTheme="minorHAnsi" w:hAnsiTheme="minorHAnsi" w:cstheme="minorBidi"/>
      <w:lang w:val="es-ES" w:eastAsia="en-US"/>
    </w:rPr>
  </w:style>
  <w:style w:type="character" w:customStyle="1" w:styleId="PrrafodelistaCar">
    <w:name w:val="Párrafo de lista Car"/>
    <w:aliases w:val="titulo 5 Car"/>
    <w:link w:val="Prrafodelista"/>
    <w:uiPriority w:val="34"/>
    <w:locked/>
    <w:rsid w:val="00EC45FF"/>
    <w:rPr>
      <w:sz w:val="22"/>
      <w:szCs w:val="22"/>
      <w:lang w:val="es-ES"/>
    </w:rPr>
  </w:style>
  <w:style w:type="paragraph" w:customStyle="1" w:styleId="Default">
    <w:name w:val="Default"/>
    <w:rsid w:val="00EC45FF"/>
    <w:pPr>
      <w:autoSpaceDE w:val="0"/>
      <w:autoSpaceDN w:val="0"/>
      <w:adjustRightInd w:val="0"/>
    </w:pPr>
    <w:rPr>
      <w:rFonts w:ascii="Times New Roman" w:eastAsia="Times New Roman" w:hAnsi="Times New Roman" w:cs="Times New Roman"/>
      <w:color w:val="000000"/>
      <w:lang w:val="es-ES_tradnl" w:eastAsia="es-ES_tradnl"/>
    </w:rPr>
  </w:style>
  <w:style w:type="paragraph" w:styleId="NormalWeb">
    <w:name w:val="Normal (Web)"/>
    <w:basedOn w:val="Normal"/>
    <w:uiPriority w:val="99"/>
    <w:unhideWhenUsed/>
    <w:rsid w:val="00EC45F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EC45FF"/>
    <w:rPr>
      <w:color w:val="0563C1" w:themeColor="hyperlink"/>
      <w:u w:val="single"/>
    </w:rPr>
  </w:style>
  <w:style w:type="paragraph" w:customStyle="1" w:styleId="Piedefigurasytablas">
    <w:name w:val="Pie de figuras y tablas"/>
    <w:uiPriority w:val="99"/>
    <w:qFormat/>
    <w:rsid w:val="00EC45FF"/>
    <w:pPr>
      <w:spacing w:before="120" w:after="200"/>
      <w:jc w:val="center"/>
    </w:pPr>
    <w:rPr>
      <w:rFonts w:ascii="Work Sans Light" w:eastAsiaTheme="minorEastAsia" w:hAnsi="Work Sans Light" w:cstheme="minorHAnsi"/>
      <w:sz w:val="14"/>
      <w:szCs w:val="22"/>
      <w:lang w:eastAsia="zh-CN"/>
    </w:rPr>
  </w:style>
  <w:style w:type="character" w:customStyle="1" w:styleId="baj">
    <w:name w:val="b_aj"/>
    <w:basedOn w:val="Fuentedeprrafopredeter"/>
    <w:rsid w:val="00EC45FF"/>
  </w:style>
  <w:style w:type="paragraph" w:styleId="Textodeglobo">
    <w:name w:val="Balloon Text"/>
    <w:basedOn w:val="Normal"/>
    <w:link w:val="TextodegloboCar"/>
    <w:uiPriority w:val="99"/>
    <w:semiHidden/>
    <w:unhideWhenUsed/>
    <w:rsid w:val="00EC45FF"/>
    <w:pPr>
      <w:spacing w:after="0" w:line="240" w:lineRule="auto"/>
    </w:pPr>
    <w:rPr>
      <w:rFonts w:ascii="Segoe UI" w:eastAsia="Times New Roman" w:hAnsi="Segoe UI" w:cs="Segoe UI"/>
      <w:sz w:val="18"/>
      <w:szCs w:val="18"/>
      <w:lang w:val="es-CO" w:eastAsia="es-ES_tradnl"/>
    </w:rPr>
  </w:style>
  <w:style w:type="character" w:customStyle="1" w:styleId="TextodegloboCar">
    <w:name w:val="Texto de globo Car"/>
    <w:basedOn w:val="Fuentedeprrafopredeter"/>
    <w:link w:val="Textodeglobo"/>
    <w:uiPriority w:val="99"/>
    <w:semiHidden/>
    <w:rsid w:val="00EC45FF"/>
    <w:rPr>
      <w:rFonts w:ascii="Segoe UI" w:eastAsia="Times New Roman" w:hAnsi="Segoe UI" w:cs="Segoe UI"/>
      <w:sz w:val="18"/>
      <w:szCs w:val="18"/>
      <w:lang w:eastAsia="es-ES_tradnl"/>
    </w:rPr>
  </w:style>
  <w:style w:type="character" w:customStyle="1" w:styleId="gmail-apple-converted-space">
    <w:name w:val="gmail-apple-converted-space"/>
    <w:basedOn w:val="Fuentedeprrafopredeter"/>
    <w:rsid w:val="00EC45FF"/>
  </w:style>
  <w:style w:type="character" w:customStyle="1" w:styleId="Mencinsinresolver1">
    <w:name w:val="Mención sin resolver1"/>
    <w:basedOn w:val="Fuentedeprrafopredeter"/>
    <w:uiPriority w:val="99"/>
    <w:semiHidden/>
    <w:unhideWhenUsed/>
    <w:rsid w:val="00EC45FF"/>
    <w:rPr>
      <w:color w:val="605E5C"/>
      <w:shd w:val="clear" w:color="auto" w:fill="E1DFDD"/>
    </w:rPr>
  </w:style>
  <w:style w:type="paragraph" w:styleId="Encabezado">
    <w:name w:val="header"/>
    <w:basedOn w:val="Normal"/>
    <w:link w:val="EncabezadoCar"/>
    <w:uiPriority w:val="99"/>
    <w:unhideWhenUsed/>
    <w:rsid w:val="00EC4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5FF"/>
    <w:rPr>
      <w:rFonts w:ascii="Arial" w:eastAsia="Arial" w:hAnsi="Arial" w:cs="Arial"/>
      <w:sz w:val="22"/>
      <w:szCs w:val="22"/>
      <w:lang w:val="uz-Cyrl-UZ" w:eastAsia="es-ES"/>
    </w:rPr>
  </w:style>
  <w:style w:type="paragraph" w:styleId="Piedepgina">
    <w:name w:val="footer"/>
    <w:basedOn w:val="Normal"/>
    <w:link w:val="PiedepginaCar"/>
    <w:uiPriority w:val="99"/>
    <w:unhideWhenUsed/>
    <w:rsid w:val="00EC4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5FF"/>
    <w:rPr>
      <w:rFonts w:ascii="Arial" w:eastAsia="Arial" w:hAnsi="Arial" w:cs="Arial"/>
      <w:sz w:val="22"/>
      <w:szCs w:val="22"/>
      <w:lang w:val="uz-Cyrl-UZ" w:eastAsia="es-ES"/>
    </w:rPr>
  </w:style>
  <w:style w:type="character" w:styleId="Hipervnculovisitado">
    <w:name w:val="FollowedHyperlink"/>
    <w:basedOn w:val="Fuentedeprrafopredeter"/>
    <w:uiPriority w:val="99"/>
    <w:semiHidden/>
    <w:unhideWhenUsed/>
    <w:rsid w:val="00EC45FF"/>
    <w:rPr>
      <w:color w:val="954F72" w:themeColor="followedHyperlink"/>
      <w:u w:val="single"/>
    </w:rPr>
  </w:style>
  <w:style w:type="paragraph" w:customStyle="1" w:styleId="msonormal0">
    <w:name w:val="msonormal"/>
    <w:basedOn w:val="Normal"/>
    <w:rsid w:val="00EC45F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numbering" w:customStyle="1" w:styleId="Sinlista1">
    <w:name w:val="Sin lista1"/>
    <w:next w:val="Sinlista"/>
    <w:uiPriority w:val="99"/>
    <w:semiHidden/>
    <w:unhideWhenUsed/>
    <w:rsid w:val="00EC45FF"/>
  </w:style>
  <w:style w:type="table" w:customStyle="1" w:styleId="Tablaconcuadrcula1">
    <w:name w:val="Tabla con cuadrícula1"/>
    <w:basedOn w:val="Tablanormal"/>
    <w:next w:val="Tablaconcuadrcula"/>
    <w:uiPriority w:val="59"/>
    <w:rsid w:val="00EC45FF"/>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EC45FF"/>
    <w:pPr>
      <w:spacing w:line="276" w:lineRule="auto"/>
    </w:pPr>
    <w:rPr>
      <w:rFonts w:ascii="Arial" w:eastAsia="Arial" w:hAnsi="Arial" w:cs="Arial"/>
      <w:sz w:val="22"/>
      <w:szCs w:val="22"/>
      <w:lang w:val="uz-Cyrl-UZ" w:eastAsia="es-ES"/>
    </w:rPr>
  </w:style>
  <w:style w:type="character" w:styleId="Refdecomentario">
    <w:name w:val="annotation reference"/>
    <w:basedOn w:val="Fuentedeprrafopredeter"/>
    <w:uiPriority w:val="99"/>
    <w:semiHidden/>
    <w:unhideWhenUsed/>
    <w:rsid w:val="00EC45FF"/>
    <w:rPr>
      <w:sz w:val="16"/>
      <w:szCs w:val="16"/>
    </w:rPr>
  </w:style>
  <w:style w:type="paragraph" w:styleId="Textocomentario">
    <w:name w:val="annotation text"/>
    <w:basedOn w:val="Normal"/>
    <w:link w:val="TextocomentarioCar"/>
    <w:uiPriority w:val="99"/>
    <w:semiHidden/>
    <w:unhideWhenUsed/>
    <w:rsid w:val="00EC45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45FF"/>
    <w:rPr>
      <w:rFonts w:ascii="Arial" w:eastAsia="Arial" w:hAnsi="Arial" w:cs="Arial"/>
      <w:sz w:val="20"/>
      <w:szCs w:val="20"/>
      <w:lang w:val="uz-Cyrl-UZ" w:eastAsia="es-ES"/>
    </w:rPr>
  </w:style>
  <w:style w:type="paragraph" w:styleId="Asuntodelcomentario">
    <w:name w:val="annotation subject"/>
    <w:basedOn w:val="Textocomentario"/>
    <w:next w:val="Textocomentario"/>
    <w:link w:val="AsuntodelcomentarioCar"/>
    <w:uiPriority w:val="99"/>
    <w:semiHidden/>
    <w:unhideWhenUsed/>
    <w:rsid w:val="00EC45FF"/>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C45FF"/>
    <w:rPr>
      <w:rFonts w:ascii="Arial" w:eastAsia="Arial" w:hAnsi="Arial" w:cs="Arial"/>
      <w:b/>
      <w:bCs/>
      <w:sz w:val="20"/>
      <w:szCs w:val="20"/>
      <w:lang w:val="uz-Cyrl-UZ" w:eastAsia="es-ES"/>
    </w:rPr>
  </w:style>
  <w:style w:type="paragraph" w:styleId="Revisin">
    <w:name w:val="Revision"/>
    <w:hidden/>
    <w:uiPriority w:val="99"/>
    <w:semiHidden/>
    <w:rsid w:val="00EC45FF"/>
    <w:rPr>
      <w:sz w:val="22"/>
      <w:szCs w:val="22"/>
    </w:rPr>
  </w:style>
  <w:style w:type="paragraph" w:styleId="Textosinformato">
    <w:name w:val="Plain Text"/>
    <w:basedOn w:val="Normal"/>
    <w:link w:val="TextosinformatoCar"/>
    <w:uiPriority w:val="99"/>
    <w:unhideWhenUsed/>
    <w:rsid w:val="00EC45FF"/>
    <w:pPr>
      <w:spacing w:after="0" w:line="240" w:lineRule="auto"/>
    </w:pPr>
    <w:rPr>
      <w:rFonts w:ascii="Calibri" w:eastAsiaTheme="minorHAnsi" w:hAnsi="Calibri" w:cstheme="minorBidi"/>
      <w:szCs w:val="21"/>
      <w:lang w:val="es-CO" w:eastAsia="en-US"/>
    </w:rPr>
  </w:style>
  <w:style w:type="character" w:customStyle="1" w:styleId="TextosinformatoCar">
    <w:name w:val="Texto sin formato Car"/>
    <w:basedOn w:val="Fuentedeprrafopredeter"/>
    <w:link w:val="Textosinformato"/>
    <w:uiPriority w:val="99"/>
    <w:rsid w:val="00EC45FF"/>
    <w:rPr>
      <w:rFonts w:ascii="Calibri" w:hAnsi="Calibri"/>
      <w:sz w:val="22"/>
      <w:szCs w:val="21"/>
    </w:rPr>
  </w:style>
  <w:style w:type="character" w:styleId="Mencinsinresolver">
    <w:name w:val="Unresolved Mention"/>
    <w:basedOn w:val="Fuentedeprrafopredeter"/>
    <w:uiPriority w:val="99"/>
    <w:semiHidden/>
    <w:unhideWhenUsed/>
    <w:rsid w:val="00E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decreto_0111_1996_pr002.html" TargetMode="External"/><Relationship Id="rId5" Type="http://schemas.openxmlformats.org/officeDocument/2006/relationships/hyperlink" Target="http://www.secretariasenado.gov.co/senado/basedoc/ley_0226_199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91083</Words>
  <Characters>500959</Characters>
  <Application>Microsoft Office Word</Application>
  <DocSecurity>0</DocSecurity>
  <Lines>4174</Lines>
  <Paragraphs>1181</Paragraphs>
  <ScaleCrop>false</ScaleCrop>
  <Company/>
  <LinksUpToDate>false</LinksUpToDate>
  <CharactersWithSpaces>590861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2019-04-20T15:49:00Z</dcterms:created>
  <dcterms:modified xsi:type="dcterms:W3CDTF">2019-04-20T15:49:00Z</dcterms:modified>
</cp:coreProperties>
</file>