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28" w:rsidRPr="009B6C40" w:rsidRDefault="006D3A28" w:rsidP="006D3A28">
      <w:pPr>
        <w:spacing w:after="0" w:line="240" w:lineRule="auto"/>
        <w:jc w:val="center"/>
        <w:rPr>
          <w:rFonts w:ascii="Arial" w:hAnsi="Arial" w:cs="Arial"/>
          <w:b/>
          <w:sz w:val="32"/>
          <w:szCs w:val="32"/>
        </w:rPr>
      </w:pPr>
      <w:bookmarkStart w:id="0" w:name="_GoBack"/>
      <w:bookmarkEnd w:id="0"/>
      <w:r w:rsidRPr="009B6C40">
        <w:rPr>
          <w:rFonts w:ascii="Arial" w:hAnsi="Arial" w:cs="Arial"/>
          <w:b/>
          <w:sz w:val="32"/>
          <w:szCs w:val="32"/>
        </w:rPr>
        <w:t>Superindustria formula Pliego de Cargos contra la F</w:t>
      </w:r>
      <w:r>
        <w:rPr>
          <w:rFonts w:ascii="Arial" w:hAnsi="Arial" w:cs="Arial"/>
          <w:b/>
          <w:sz w:val="32"/>
          <w:szCs w:val="32"/>
        </w:rPr>
        <w:t>CF</w:t>
      </w:r>
      <w:r w:rsidRPr="009B6C40">
        <w:rPr>
          <w:rFonts w:ascii="Arial" w:hAnsi="Arial" w:cs="Arial"/>
          <w:b/>
          <w:sz w:val="32"/>
          <w:szCs w:val="32"/>
        </w:rPr>
        <w:t>, TICKETSHOP, TICKET YA y varias personas involucradas en el desvío masivo de boletas para la reventa en los partidos de la Eliminatoria Rusia 2018</w:t>
      </w:r>
    </w:p>
    <w:p w:rsidR="006D3A28" w:rsidRPr="009B6C40" w:rsidRDefault="006D3A28" w:rsidP="006D3A28">
      <w:pPr>
        <w:spacing w:after="0" w:line="240" w:lineRule="auto"/>
        <w:jc w:val="both"/>
        <w:rPr>
          <w:rFonts w:ascii="Arial" w:hAnsi="Arial" w:cs="Arial"/>
          <w:sz w:val="24"/>
          <w:szCs w:val="24"/>
        </w:rPr>
      </w:pPr>
    </w:p>
    <w:p w:rsidR="006D3A28" w:rsidRPr="009B6C40" w:rsidRDefault="006D3A28" w:rsidP="006D3A28">
      <w:pPr>
        <w:pStyle w:val="Prrafodelista"/>
        <w:numPr>
          <w:ilvl w:val="0"/>
          <w:numId w:val="8"/>
        </w:numPr>
        <w:spacing w:after="0" w:line="240" w:lineRule="auto"/>
        <w:ind w:left="0" w:firstLine="360"/>
        <w:contextualSpacing/>
        <w:jc w:val="both"/>
        <w:rPr>
          <w:rFonts w:ascii="Arial" w:hAnsi="Arial" w:cs="Arial"/>
          <w:sz w:val="24"/>
          <w:szCs w:val="24"/>
        </w:rPr>
      </w:pPr>
      <w:r w:rsidRPr="009B6C40">
        <w:rPr>
          <w:rFonts w:ascii="Arial" w:hAnsi="Arial" w:cs="Arial"/>
          <w:sz w:val="24"/>
          <w:szCs w:val="24"/>
        </w:rPr>
        <w:t xml:space="preserve">La Superintendencia de Industria y Comercio, después de más de 10 meses de indagaciones, formuló Pliego de Cargos a la </w:t>
      </w:r>
      <w:r w:rsidRPr="009B6C40">
        <w:rPr>
          <w:rFonts w:ascii="Arial" w:hAnsi="Arial" w:cs="Arial"/>
          <w:b/>
          <w:sz w:val="24"/>
          <w:szCs w:val="24"/>
        </w:rPr>
        <w:t>FEDERACIÓN COLOMBIANA DE FÚTBOL (FCF), TICKETSHOP, TICKETYA</w:t>
      </w:r>
      <w:r w:rsidRPr="009B6C40">
        <w:rPr>
          <w:rFonts w:ascii="Arial" w:hAnsi="Arial" w:cs="Arial"/>
          <w:sz w:val="24"/>
          <w:szCs w:val="24"/>
        </w:rPr>
        <w:t xml:space="preserve">, sus altos directivos y varias otras personas, por haber planeado, diseñado y ejecutado una estrategia o procedimiento que habría dado como resultado la desviación masiva de boletas con fines de reventa </w:t>
      </w:r>
      <w:r>
        <w:rPr>
          <w:rFonts w:ascii="Arial" w:hAnsi="Arial" w:cs="Arial"/>
          <w:sz w:val="24"/>
          <w:szCs w:val="24"/>
        </w:rPr>
        <w:t>para</w:t>
      </w:r>
      <w:r w:rsidRPr="009B6C40">
        <w:rPr>
          <w:rFonts w:ascii="Arial" w:hAnsi="Arial" w:cs="Arial"/>
          <w:sz w:val="24"/>
          <w:szCs w:val="24"/>
        </w:rPr>
        <w:t xml:space="preserve"> los partidos de fútbol disputados por la Selección Colombia en su condición de local en la ciudad de Barranquilla en el marco de la Eliminatoria al Mundial Rusia 2018.</w:t>
      </w:r>
    </w:p>
    <w:p w:rsidR="006D3A28" w:rsidRPr="009B6C40" w:rsidRDefault="006D3A28" w:rsidP="006D3A28">
      <w:pPr>
        <w:spacing w:after="0" w:line="240" w:lineRule="auto"/>
        <w:jc w:val="both"/>
        <w:rPr>
          <w:rFonts w:ascii="Arial" w:hAnsi="Arial" w:cs="Arial"/>
          <w:sz w:val="24"/>
          <w:szCs w:val="24"/>
        </w:rPr>
      </w:pPr>
    </w:p>
    <w:p w:rsidR="006D3A28" w:rsidRPr="009B6C40" w:rsidRDefault="006D3A28" w:rsidP="006D3A28">
      <w:pPr>
        <w:pStyle w:val="Prrafodelista"/>
        <w:numPr>
          <w:ilvl w:val="0"/>
          <w:numId w:val="8"/>
        </w:numPr>
        <w:spacing w:after="0" w:line="240" w:lineRule="auto"/>
        <w:ind w:left="0" w:firstLine="360"/>
        <w:contextualSpacing/>
        <w:jc w:val="both"/>
        <w:rPr>
          <w:rFonts w:ascii="Arial" w:hAnsi="Arial" w:cs="Arial"/>
          <w:sz w:val="24"/>
          <w:szCs w:val="24"/>
        </w:rPr>
      </w:pPr>
      <w:r w:rsidRPr="009B6C40">
        <w:rPr>
          <w:rFonts w:ascii="Arial" w:hAnsi="Arial" w:cs="Arial"/>
          <w:sz w:val="24"/>
          <w:szCs w:val="24"/>
        </w:rPr>
        <w:t xml:space="preserve">La actuación administrativa adelantada por la Superintendencia de Industria y Comercio cuenta con la participación, en condición de </w:t>
      </w:r>
      <w:r w:rsidRPr="009B6C40">
        <w:rPr>
          <w:rFonts w:ascii="Arial" w:hAnsi="Arial" w:cs="Arial"/>
          <w:b/>
          <w:sz w:val="24"/>
          <w:szCs w:val="24"/>
        </w:rPr>
        <w:t>DELATOR</w:t>
      </w:r>
      <w:r w:rsidRPr="009B6C40">
        <w:rPr>
          <w:rFonts w:ascii="Arial" w:hAnsi="Arial" w:cs="Arial"/>
          <w:sz w:val="24"/>
          <w:szCs w:val="24"/>
        </w:rPr>
        <w:t xml:space="preserve">, de la empresa </w:t>
      </w:r>
      <w:r w:rsidRPr="009B6C40">
        <w:rPr>
          <w:rFonts w:ascii="Arial" w:hAnsi="Arial" w:cs="Arial"/>
          <w:b/>
          <w:sz w:val="24"/>
          <w:szCs w:val="24"/>
        </w:rPr>
        <w:t>TICKETSHOP</w:t>
      </w:r>
      <w:r w:rsidRPr="009B6C40">
        <w:rPr>
          <w:rFonts w:ascii="Arial" w:hAnsi="Arial" w:cs="Arial"/>
          <w:sz w:val="24"/>
          <w:szCs w:val="24"/>
        </w:rPr>
        <w:t xml:space="preserve"> y sus altos directivos, quienes han aportado voluntariamente pruebas, contratos, documentos, correos electrónicos, mensajes de </w:t>
      </w:r>
      <w:r w:rsidRPr="009B6C40">
        <w:rPr>
          <w:rFonts w:ascii="Arial" w:hAnsi="Arial" w:cs="Arial"/>
          <w:i/>
          <w:sz w:val="24"/>
          <w:szCs w:val="24"/>
        </w:rPr>
        <w:t>Whatsapp</w:t>
      </w:r>
      <w:r w:rsidRPr="009B6C40">
        <w:rPr>
          <w:rFonts w:ascii="Arial" w:hAnsi="Arial" w:cs="Arial"/>
          <w:sz w:val="24"/>
          <w:szCs w:val="24"/>
        </w:rPr>
        <w:t xml:space="preserve">, informes de liquidación parcial de las actividades de entrega de boletas para los fines de reventa, entre muchas otras evidencias. </w:t>
      </w:r>
      <w:r w:rsidRPr="009B6C40">
        <w:rPr>
          <w:rFonts w:ascii="Arial" w:hAnsi="Arial" w:cs="Arial"/>
          <w:b/>
          <w:sz w:val="24"/>
          <w:szCs w:val="24"/>
        </w:rPr>
        <w:t xml:space="preserve">TICKETSHOP </w:t>
      </w:r>
      <w:r w:rsidRPr="009B6C40">
        <w:rPr>
          <w:rFonts w:ascii="Arial" w:hAnsi="Arial" w:cs="Arial"/>
          <w:sz w:val="24"/>
          <w:szCs w:val="24"/>
        </w:rPr>
        <w:t>solicitó su ingreso al Programa</w:t>
      </w:r>
      <w:r w:rsidRPr="009B6C40">
        <w:rPr>
          <w:rFonts w:ascii="Arial" w:hAnsi="Arial" w:cs="Arial"/>
          <w:b/>
          <w:sz w:val="24"/>
          <w:szCs w:val="24"/>
        </w:rPr>
        <w:t xml:space="preserve"> </w:t>
      </w:r>
      <w:r w:rsidRPr="009B6C40">
        <w:rPr>
          <w:rFonts w:ascii="Arial" w:hAnsi="Arial" w:cs="Arial"/>
          <w:sz w:val="24"/>
          <w:szCs w:val="24"/>
        </w:rPr>
        <w:t>de Beneficios por Colaboración y viene ayudando a la investigación desde septiembre del año pasado (2017) y fue finalmente admitido al Programa en el mes de junio de 2018 (hace 2 meses aprox.).</w:t>
      </w:r>
    </w:p>
    <w:p w:rsidR="006D3A28" w:rsidRPr="009B6C40" w:rsidRDefault="006D3A28" w:rsidP="006D3A28">
      <w:pPr>
        <w:pStyle w:val="Prrafodelista"/>
        <w:spacing w:after="0" w:line="240" w:lineRule="auto"/>
        <w:rPr>
          <w:rFonts w:ascii="Arial" w:hAnsi="Arial" w:cs="Arial"/>
          <w:i/>
          <w:sz w:val="24"/>
          <w:szCs w:val="24"/>
        </w:rPr>
      </w:pPr>
    </w:p>
    <w:p w:rsidR="006D3A28" w:rsidRPr="009B6C40" w:rsidRDefault="006D3A28" w:rsidP="006D3A28">
      <w:pPr>
        <w:pStyle w:val="Prrafodelista"/>
        <w:numPr>
          <w:ilvl w:val="0"/>
          <w:numId w:val="8"/>
        </w:numPr>
        <w:spacing w:after="0" w:line="240" w:lineRule="auto"/>
        <w:ind w:left="0" w:firstLine="360"/>
        <w:contextualSpacing/>
        <w:jc w:val="both"/>
        <w:rPr>
          <w:rFonts w:ascii="Arial" w:hAnsi="Arial" w:cs="Arial"/>
          <w:sz w:val="24"/>
          <w:szCs w:val="24"/>
        </w:rPr>
      </w:pPr>
      <w:r w:rsidRPr="009B6C40">
        <w:rPr>
          <w:rFonts w:ascii="Arial" w:hAnsi="Arial" w:cs="Arial"/>
          <w:sz w:val="24"/>
          <w:szCs w:val="24"/>
        </w:rPr>
        <w:t xml:space="preserve">De la misma manera, la Superintendencia de Industria y Comercio ha recaudado valioso y abundante material probatorio (computadores, contratos, cruce de cuentas, correos electrónicos, mensajes de </w:t>
      </w:r>
      <w:proofErr w:type="spellStart"/>
      <w:r w:rsidRPr="009B6C40">
        <w:rPr>
          <w:rFonts w:ascii="Arial" w:hAnsi="Arial" w:cs="Arial"/>
          <w:sz w:val="24"/>
          <w:szCs w:val="24"/>
        </w:rPr>
        <w:t>whatsapp</w:t>
      </w:r>
      <w:proofErr w:type="spellEnd"/>
      <w:r w:rsidRPr="009B6C40">
        <w:rPr>
          <w:rFonts w:ascii="Arial" w:hAnsi="Arial" w:cs="Arial"/>
          <w:sz w:val="24"/>
          <w:szCs w:val="24"/>
        </w:rPr>
        <w:t xml:space="preserve">, testimonios y declaraciones) en virtud de visitas administrativas de inspección a distintas empresas y personas en Bogotá, Barranquilla y Cartagena, como también en varias ocasiones a las instalaciones de la </w:t>
      </w:r>
      <w:r w:rsidRPr="009B6C40">
        <w:rPr>
          <w:rFonts w:ascii="Arial" w:hAnsi="Arial" w:cs="Arial"/>
          <w:b/>
          <w:sz w:val="24"/>
          <w:szCs w:val="24"/>
        </w:rPr>
        <w:t xml:space="preserve">FCF </w:t>
      </w:r>
      <w:r w:rsidRPr="009B6C40">
        <w:rPr>
          <w:rFonts w:ascii="Arial" w:hAnsi="Arial" w:cs="Arial"/>
          <w:sz w:val="24"/>
          <w:szCs w:val="24"/>
        </w:rPr>
        <w:t>en Bogotá.</w:t>
      </w:r>
    </w:p>
    <w:p w:rsidR="006D3A28" w:rsidRPr="009B6C40" w:rsidRDefault="006D3A28" w:rsidP="006D3A28">
      <w:pPr>
        <w:pStyle w:val="Prrafodelista"/>
        <w:spacing w:after="0" w:line="240" w:lineRule="auto"/>
        <w:ind w:left="360"/>
        <w:jc w:val="both"/>
        <w:rPr>
          <w:rFonts w:ascii="Arial" w:hAnsi="Arial" w:cs="Arial"/>
          <w:sz w:val="24"/>
          <w:szCs w:val="24"/>
        </w:rPr>
      </w:pPr>
    </w:p>
    <w:p w:rsidR="006D3A28" w:rsidRPr="009B6C40" w:rsidRDefault="006D3A28" w:rsidP="006D3A28">
      <w:pPr>
        <w:pStyle w:val="Prrafodelista"/>
        <w:numPr>
          <w:ilvl w:val="0"/>
          <w:numId w:val="8"/>
        </w:numPr>
        <w:spacing w:after="0" w:line="240" w:lineRule="auto"/>
        <w:ind w:left="0" w:firstLine="360"/>
        <w:contextualSpacing/>
        <w:jc w:val="both"/>
        <w:rPr>
          <w:rFonts w:ascii="Arial" w:hAnsi="Arial" w:cs="Arial"/>
          <w:sz w:val="24"/>
          <w:szCs w:val="24"/>
        </w:rPr>
      </w:pPr>
      <w:r w:rsidRPr="009B6C40">
        <w:rPr>
          <w:rFonts w:ascii="Arial" w:hAnsi="Arial" w:cs="Arial"/>
          <w:sz w:val="24"/>
          <w:szCs w:val="24"/>
        </w:rPr>
        <w:t>Con todas estas evidencias, la Superintendencia pudo establecer que la conducta investigada se desarrolló por fases sucesivas en el tiempo, en las que cada uno de los investigados jugó un rol específico para contribuir al resultado que se ha indicado, es decir, para el desvío masivo de boletas con fines de reventa en la Eliminatoria al Mundial Rusia 2018.</w:t>
      </w:r>
    </w:p>
    <w:p w:rsidR="006D3A28" w:rsidRPr="009B6C40" w:rsidRDefault="006D3A28" w:rsidP="006D3A28">
      <w:pPr>
        <w:spacing w:after="0" w:line="240" w:lineRule="auto"/>
        <w:jc w:val="both"/>
        <w:rPr>
          <w:rFonts w:ascii="Arial" w:hAnsi="Arial" w:cs="Arial"/>
          <w:sz w:val="24"/>
          <w:szCs w:val="24"/>
        </w:rPr>
      </w:pPr>
    </w:p>
    <w:p w:rsidR="006D3A28" w:rsidRPr="009B6C40" w:rsidRDefault="006D3A28" w:rsidP="006D3A28">
      <w:pPr>
        <w:pStyle w:val="Prrafodelista"/>
        <w:numPr>
          <w:ilvl w:val="0"/>
          <w:numId w:val="8"/>
        </w:numPr>
        <w:spacing w:after="0" w:line="240" w:lineRule="auto"/>
        <w:contextualSpacing/>
        <w:jc w:val="both"/>
        <w:rPr>
          <w:rFonts w:ascii="Arial" w:hAnsi="Arial" w:cs="Arial"/>
          <w:sz w:val="24"/>
          <w:szCs w:val="24"/>
        </w:rPr>
      </w:pPr>
      <w:r w:rsidRPr="009B6C40">
        <w:rPr>
          <w:rFonts w:ascii="Arial" w:hAnsi="Arial" w:cs="Arial"/>
          <w:sz w:val="24"/>
          <w:szCs w:val="24"/>
        </w:rPr>
        <w:t>La conducta investigada se desarrolló en tres (3) grandes fases:</w:t>
      </w:r>
    </w:p>
    <w:p w:rsidR="006D3A28" w:rsidRPr="009B6C40" w:rsidRDefault="006D3A28" w:rsidP="006D3A28">
      <w:pPr>
        <w:pStyle w:val="Prrafodelista"/>
        <w:spacing w:after="0" w:line="240" w:lineRule="auto"/>
        <w:ind w:left="720"/>
        <w:jc w:val="both"/>
        <w:rPr>
          <w:rFonts w:ascii="Arial" w:hAnsi="Arial" w:cs="Arial"/>
          <w:sz w:val="24"/>
          <w:szCs w:val="24"/>
        </w:rPr>
      </w:pPr>
      <w:r w:rsidRPr="009B6C40">
        <w:rPr>
          <w:rFonts w:ascii="Arial" w:hAnsi="Arial" w:cs="Arial"/>
          <w:sz w:val="24"/>
          <w:szCs w:val="24"/>
        </w:rPr>
        <w:t xml:space="preserve"> </w:t>
      </w:r>
    </w:p>
    <w:p w:rsidR="006D3A28" w:rsidRPr="009B6C40" w:rsidRDefault="006D3A28" w:rsidP="006D3A28">
      <w:pPr>
        <w:spacing w:after="0" w:line="240" w:lineRule="auto"/>
        <w:ind w:left="567"/>
        <w:jc w:val="both"/>
        <w:rPr>
          <w:rFonts w:ascii="Arial" w:hAnsi="Arial" w:cs="Arial"/>
          <w:sz w:val="24"/>
          <w:szCs w:val="24"/>
        </w:rPr>
      </w:pPr>
      <w:r w:rsidRPr="009B6C40">
        <w:rPr>
          <w:rFonts w:ascii="Arial" w:hAnsi="Arial" w:cs="Arial"/>
          <w:sz w:val="24"/>
          <w:szCs w:val="24"/>
        </w:rPr>
        <w:lastRenderedPageBreak/>
        <w:t>La</w:t>
      </w:r>
      <w:r w:rsidRPr="009B6C40">
        <w:rPr>
          <w:rFonts w:ascii="Arial" w:hAnsi="Arial" w:cs="Arial"/>
          <w:b/>
          <w:sz w:val="24"/>
          <w:szCs w:val="24"/>
        </w:rPr>
        <w:t xml:space="preserve"> </w:t>
      </w:r>
      <w:r w:rsidRPr="009B6C40">
        <w:rPr>
          <w:rFonts w:ascii="Arial" w:hAnsi="Arial" w:cs="Arial"/>
          <w:b/>
          <w:sz w:val="24"/>
          <w:szCs w:val="24"/>
          <w:u w:val="single"/>
        </w:rPr>
        <w:t>primera fase</w:t>
      </w:r>
      <w:r w:rsidRPr="009B6C40">
        <w:rPr>
          <w:rFonts w:ascii="Arial" w:hAnsi="Arial" w:cs="Arial"/>
          <w:sz w:val="24"/>
          <w:szCs w:val="24"/>
        </w:rPr>
        <w:t xml:space="preserve"> está relacionada con el direccionamiento del contrato de operación de la boletería por parte de la </w:t>
      </w:r>
      <w:r w:rsidRPr="009B6C40">
        <w:rPr>
          <w:rFonts w:ascii="Arial" w:hAnsi="Arial" w:cs="Arial"/>
          <w:b/>
          <w:sz w:val="24"/>
          <w:szCs w:val="24"/>
        </w:rPr>
        <w:t>FCF</w:t>
      </w:r>
      <w:r w:rsidRPr="009B6C40">
        <w:rPr>
          <w:rFonts w:ascii="Arial" w:hAnsi="Arial" w:cs="Arial"/>
          <w:sz w:val="24"/>
          <w:szCs w:val="24"/>
        </w:rPr>
        <w:t xml:space="preserve"> hacia </w:t>
      </w:r>
      <w:r w:rsidRPr="009B6C40">
        <w:rPr>
          <w:rFonts w:ascii="Arial" w:hAnsi="Arial" w:cs="Arial"/>
          <w:b/>
          <w:sz w:val="24"/>
          <w:szCs w:val="24"/>
        </w:rPr>
        <w:t>TICKETSHOP</w:t>
      </w:r>
      <w:r w:rsidRPr="009B6C40">
        <w:rPr>
          <w:rFonts w:ascii="Arial" w:hAnsi="Arial" w:cs="Arial"/>
          <w:sz w:val="24"/>
          <w:szCs w:val="24"/>
        </w:rPr>
        <w:t xml:space="preserve">, lo cual se materializó al momento en que el Comité Ejecutivo de la </w:t>
      </w:r>
      <w:r w:rsidRPr="009B6C40">
        <w:rPr>
          <w:rFonts w:ascii="Arial" w:hAnsi="Arial" w:cs="Arial"/>
          <w:b/>
          <w:sz w:val="24"/>
          <w:szCs w:val="24"/>
        </w:rPr>
        <w:t>FCF</w:t>
      </w:r>
      <w:r w:rsidRPr="009B6C40">
        <w:rPr>
          <w:rFonts w:ascii="Arial" w:hAnsi="Arial" w:cs="Arial"/>
          <w:sz w:val="24"/>
          <w:szCs w:val="24"/>
        </w:rPr>
        <w:t xml:space="preserve"> adoptó la decisión de adjudicarle</w:t>
      </w:r>
      <w:r>
        <w:rPr>
          <w:rFonts w:ascii="Arial" w:hAnsi="Arial" w:cs="Arial"/>
          <w:sz w:val="24"/>
          <w:szCs w:val="24"/>
        </w:rPr>
        <w:t>s</w:t>
      </w:r>
      <w:r w:rsidRPr="009B6C40">
        <w:rPr>
          <w:rFonts w:ascii="Arial" w:hAnsi="Arial" w:cs="Arial"/>
          <w:sz w:val="24"/>
          <w:szCs w:val="24"/>
        </w:rPr>
        <w:t xml:space="preserve"> el contrato, sin importar que de acuerdo con las condiciones del pliego, no podía ser </w:t>
      </w:r>
      <w:r w:rsidRPr="009B6C40">
        <w:rPr>
          <w:rFonts w:ascii="Arial" w:hAnsi="Arial" w:cs="Arial"/>
          <w:b/>
          <w:sz w:val="24"/>
          <w:szCs w:val="24"/>
        </w:rPr>
        <w:t>TICKETSHOP</w:t>
      </w:r>
      <w:r w:rsidRPr="009B6C40">
        <w:rPr>
          <w:rFonts w:ascii="Arial" w:hAnsi="Arial" w:cs="Arial"/>
          <w:sz w:val="24"/>
          <w:szCs w:val="24"/>
        </w:rPr>
        <w:t xml:space="preserve"> el oferente escogido sino </w:t>
      </w:r>
      <w:r w:rsidRPr="009B6C40">
        <w:rPr>
          <w:rFonts w:ascii="Arial" w:hAnsi="Arial" w:cs="Arial"/>
          <w:b/>
          <w:sz w:val="24"/>
          <w:szCs w:val="24"/>
        </w:rPr>
        <w:t>PRIMERA FILA</w:t>
      </w:r>
      <w:r w:rsidRPr="009B6C40">
        <w:rPr>
          <w:rFonts w:ascii="Arial" w:hAnsi="Arial" w:cs="Arial"/>
          <w:sz w:val="24"/>
          <w:szCs w:val="24"/>
        </w:rPr>
        <w:t xml:space="preserve"> </w:t>
      </w:r>
      <w:r w:rsidRPr="009B6C40">
        <w:rPr>
          <w:rFonts w:ascii="Arial" w:hAnsi="Arial" w:cs="Arial"/>
          <w:b/>
          <w:sz w:val="24"/>
          <w:szCs w:val="24"/>
        </w:rPr>
        <w:t>(Cine Colombia)</w:t>
      </w:r>
      <w:r w:rsidRPr="009B6C40">
        <w:rPr>
          <w:rFonts w:ascii="Arial" w:hAnsi="Arial" w:cs="Arial"/>
          <w:sz w:val="24"/>
          <w:szCs w:val="24"/>
        </w:rPr>
        <w:t xml:space="preserve">, como incluso lo indicaban los diferentes informes de evaluación llevados a cabo por los abogados asesores externos, el revisor fiscal y el área de mercadeo de la propia </w:t>
      </w:r>
      <w:r w:rsidRPr="009B6C40">
        <w:rPr>
          <w:rFonts w:ascii="Arial" w:hAnsi="Arial" w:cs="Arial"/>
          <w:b/>
          <w:sz w:val="24"/>
          <w:szCs w:val="24"/>
        </w:rPr>
        <w:t>FCF</w:t>
      </w:r>
      <w:r w:rsidRPr="009B6C40">
        <w:rPr>
          <w:rFonts w:ascii="Arial" w:hAnsi="Arial" w:cs="Arial"/>
          <w:sz w:val="24"/>
          <w:szCs w:val="24"/>
        </w:rPr>
        <w:t>.</w:t>
      </w:r>
    </w:p>
    <w:p w:rsidR="006D3A28" w:rsidRPr="009B6C40" w:rsidRDefault="006D3A28" w:rsidP="006D3A28">
      <w:pPr>
        <w:spacing w:after="0" w:line="240" w:lineRule="auto"/>
        <w:ind w:left="567"/>
        <w:jc w:val="both"/>
        <w:rPr>
          <w:rFonts w:ascii="Arial" w:hAnsi="Arial" w:cs="Arial"/>
          <w:sz w:val="24"/>
          <w:szCs w:val="24"/>
        </w:rPr>
      </w:pPr>
    </w:p>
    <w:p w:rsidR="006D3A28" w:rsidRPr="009B6C40" w:rsidRDefault="006D3A28" w:rsidP="006D3A28">
      <w:pPr>
        <w:spacing w:after="0" w:line="240" w:lineRule="auto"/>
        <w:ind w:left="567"/>
        <w:jc w:val="both"/>
        <w:rPr>
          <w:rFonts w:ascii="Arial" w:hAnsi="Arial" w:cs="Arial"/>
          <w:sz w:val="24"/>
          <w:szCs w:val="24"/>
        </w:rPr>
      </w:pPr>
      <w:r w:rsidRPr="009B6C40">
        <w:rPr>
          <w:rFonts w:ascii="Arial" w:hAnsi="Arial" w:cs="Arial"/>
          <w:sz w:val="24"/>
          <w:szCs w:val="24"/>
        </w:rPr>
        <w:t xml:space="preserve">La Superintendencia también pudo establecer que la propuesta económica de </w:t>
      </w:r>
      <w:r w:rsidRPr="009B6C40">
        <w:rPr>
          <w:rFonts w:ascii="Arial" w:hAnsi="Arial" w:cs="Arial"/>
          <w:b/>
          <w:sz w:val="24"/>
          <w:szCs w:val="24"/>
        </w:rPr>
        <w:t>TICKETSHOP</w:t>
      </w:r>
      <w:r w:rsidRPr="009B6C40">
        <w:rPr>
          <w:rFonts w:ascii="Arial" w:hAnsi="Arial" w:cs="Arial"/>
          <w:sz w:val="24"/>
          <w:szCs w:val="24"/>
        </w:rPr>
        <w:t xml:space="preserve"> era abiertamente irracional desde el punto de vista económico, pues solo permitiría el retorno de la inversión y los gastos en que debía incurrir el contratista, bajo un escenario de 80% promedio de ocupación en todos y cada uno de los 9 partidos de la Selección Colombia, lo cual, a todas luces y bajo la modalidad del negocio ofertado (compra en firme de toda la boletería) era más que improbable vendiendo la boletería legalmente, es decir, a precio de taquilla. Así las cosas, la Superintendencia concluyó que del análisis, por cierto bastante sencillo, de la oferta económica, era evidente que estos contratistas ejecutarían actividades de reventa masiva en la operación de la boletería que pretendían se les adjudicara.  </w:t>
      </w:r>
    </w:p>
    <w:p w:rsidR="006D3A28" w:rsidRPr="009B6C40" w:rsidRDefault="006D3A28" w:rsidP="006D3A28">
      <w:pPr>
        <w:spacing w:after="0" w:line="240" w:lineRule="auto"/>
        <w:ind w:left="567"/>
        <w:jc w:val="both"/>
        <w:rPr>
          <w:rFonts w:ascii="Arial" w:hAnsi="Arial" w:cs="Arial"/>
          <w:sz w:val="24"/>
          <w:szCs w:val="24"/>
        </w:rPr>
      </w:pPr>
    </w:p>
    <w:p w:rsidR="006D3A28" w:rsidRPr="009B6C40" w:rsidRDefault="006D3A28" w:rsidP="006D3A28">
      <w:pPr>
        <w:spacing w:after="0" w:line="240" w:lineRule="auto"/>
        <w:ind w:left="567"/>
        <w:jc w:val="both"/>
        <w:rPr>
          <w:rFonts w:ascii="Arial" w:hAnsi="Arial" w:cs="Arial"/>
          <w:sz w:val="24"/>
          <w:szCs w:val="24"/>
        </w:rPr>
      </w:pPr>
      <w:r w:rsidRPr="009B6C40">
        <w:rPr>
          <w:rFonts w:ascii="Arial" w:hAnsi="Arial" w:cs="Arial"/>
          <w:sz w:val="24"/>
          <w:szCs w:val="24"/>
        </w:rPr>
        <w:t xml:space="preserve">La </w:t>
      </w:r>
      <w:r w:rsidRPr="009B6C40">
        <w:rPr>
          <w:rFonts w:ascii="Arial" w:hAnsi="Arial" w:cs="Arial"/>
          <w:b/>
          <w:sz w:val="24"/>
          <w:szCs w:val="24"/>
          <w:u w:val="single"/>
        </w:rPr>
        <w:t>segunda fase</w:t>
      </w:r>
      <w:r w:rsidRPr="009B6C40">
        <w:rPr>
          <w:rFonts w:ascii="Arial" w:hAnsi="Arial" w:cs="Arial"/>
          <w:sz w:val="24"/>
          <w:szCs w:val="24"/>
        </w:rPr>
        <w:t xml:space="preserve"> está relacionada con el desvió masivo de boletas con fines de reventa durante 8 partidos que la selección Colombia jugó en su condición de local en Barranquilla (salvo el noveno y últimos partido contra Paragua que fue intervenido por la Superintendencia de Industria y Comercio). La Superindustria pudo establecer que </w:t>
      </w:r>
      <w:r w:rsidRPr="009B6C40">
        <w:rPr>
          <w:rFonts w:ascii="Arial" w:hAnsi="Arial" w:cs="Arial"/>
          <w:b/>
          <w:sz w:val="24"/>
          <w:szCs w:val="24"/>
        </w:rPr>
        <w:t>TICKETSHOP</w:t>
      </w:r>
      <w:r w:rsidRPr="009B6C40">
        <w:rPr>
          <w:rFonts w:ascii="Arial" w:hAnsi="Arial" w:cs="Arial"/>
          <w:sz w:val="24"/>
          <w:szCs w:val="24"/>
        </w:rPr>
        <w:t xml:space="preserve"> desvió más de 42 mil boletas con fines de reventa que fueron entregadas para tal propósito al autodenominado “Grupo / Socios </w:t>
      </w:r>
      <w:r w:rsidRPr="009B6C40">
        <w:rPr>
          <w:rFonts w:ascii="Arial" w:hAnsi="Arial" w:cs="Arial"/>
          <w:b/>
          <w:sz w:val="24"/>
          <w:szCs w:val="24"/>
        </w:rPr>
        <w:t>TICKET YA</w:t>
      </w:r>
      <w:r w:rsidRPr="009B6C40">
        <w:rPr>
          <w:rFonts w:ascii="Arial" w:hAnsi="Arial" w:cs="Arial"/>
          <w:sz w:val="24"/>
          <w:szCs w:val="24"/>
        </w:rPr>
        <w:t>” (</w:t>
      </w:r>
      <w:r w:rsidRPr="009B6C40">
        <w:rPr>
          <w:rFonts w:ascii="Arial" w:hAnsi="Arial" w:cs="Arial"/>
          <w:b/>
          <w:sz w:val="24"/>
          <w:szCs w:val="24"/>
        </w:rPr>
        <w:t>ELÍAS JOSÉ YAMHURE DACCARETT</w:t>
      </w:r>
      <w:r w:rsidRPr="009B6C40">
        <w:rPr>
          <w:rFonts w:ascii="Arial" w:hAnsi="Arial" w:cs="Arial"/>
          <w:sz w:val="24"/>
          <w:szCs w:val="24"/>
        </w:rPr>
        <w:t xml:space="preserve"> </w:t>
      </w:r>
      <w:r w:rsidRPr="009B6C40">
        <w:rPr>
          <w:rFonts w:ascii="Arial" w:hAnsi="Arial" w:cs="Arial"/>
          <w:b/>
          <w:sz w:val="24"/>
          <w:szCs w:val="24"/>
        </w:rPr>
        <w:t>/</w:t>
      </w:r>
      <w:r w:rsidRPr="009B6C40">
        <w:rPr>
          <w:rFonts w:ascii="Arial" w:hAnsi="Arial" w:cs="Arial"/>
          <w:sz w:val="24"/>
          <w:szCs w:val="24"/>
        </w:rPr>
        <w:t xml:space="preserve"> </w:t>
      </w:r>
      <w:r w:rsidRPr="009B6C40">
        <w:rPr>
          <w:rFonts w:ascii="Arial" w:hAnsi="Arial" w:cs="Arial"/>
          <w:b/>
          <w:sz w:val="24"/>
          <w:szCs w:val="24"/>
        </w:rPr>
        <w:t>TICKET YA</w:t>
      </w:r>
      <w:r w:rsidRPr="009B6C40">
        <w:rPr>
          <w:rFonts w:ascii="Arial" w:hAnsi="Arial" w:cs="Arial"/>
          <w:sz w:val="24"/>
          <w:szCs w:val="24"/>
        </w:rPr>
        <w:t xml:space="preserve">, </w:t>
      </w:r>
      <w:r w:rsidRPr="009B6C40">
        <w:rPr>
          <w:rFonts w:ascii="Arial" w:hAnsi="Arial" w:cs="Arial"/>
          <w:b/>
          <w:sz w:val="24"/>
          <w:szCs w:val="24"/>
        </w:rPr>
        <w:t>MEDARDO ALBERTO ROMERO RIVEROS</w:t>
      </w:r>
      <w:r w:rsidRPr="009B6C40">
        <w:rPr>
          <w:rFonts w:ascii="Arial" w:hAnsi="Arial" w:cs="Arial"/>
          <w:sz w:val="24"/>
          <w:szCs w:val="24"/>
        </w:rPr>
        <w:t xml:space="preserve">, </w:t>
      </w:r>
      <w:r w:rsidRPr="009B6C40">
        <w:rPr>
          <w:rFonts w:ascii="Arial" w:hAnsi="Arial" w:cs="Arial"/>
          <w:b/>
          <w:sz w:val="24"/>
          <w:szCs w:val="24"/>
        </w:rPr>
        <w:t>RODRIGO RENDÓN CANO</w:t>
      </w:r>
      <w:r w:rsidRPr="009B6C40">
        <w:rPr>
          <w:rFonts w:ascii="Arial" w:hAnsi="Arial" w:cs="Arial"/>
          <w:sz w:val="24"/>
          <w:szCs w:val="24"/>
        </w:rPr>
        <w:t xml:space="preserve">, </w:t>
      </w:r>
      <w:r w:rsidRPr="009B6C40">
        <w:rPr>
          <w:rFonts w:ascii="Arial" w:hAnsi="Arial" w:cs="Arial"/>
          <w:b/>
          <w:sz w:val="24"/>
          <w:szCs w:val="24"/>
        </w:rPr>
        <w:t>RODRIGO ALEJANDRO RENDÓN RUIZ</w:t>
      </w:r>
      <w:r w:rsidRPr="009B6C40">
        <w:rPr>
          <w:rFonts w:ascii="Arial" w:hAnsi="Arial" w:cs="Arial"/>
          <w:sz w:val="24"/>
          <w:szCs w:val="24"/>
        </w:rPr>
        <w:t xml:space="preserve">, </w:t>
      </w:r>
      <w:r w:rsidRPr="009B6C40">
        <w:rPr>
          <w:rFonts w:ascii="Arial" w:hAnsi="Arial" w:cs="Arial"/>
          <w:b/>
          <w:sz w:val="24"/>
          <w:szCs w:val="24"/>
        </w:rPr>
        <w:t>DAVID ALBERTO ROMERO VEGA</w:t>
      </w:r>
      <w:r w:rsidRPr="009B6C40">
        <w:rPr>
          <w:rFonts w:ascii="Arial" w:hAnsi="Arial" w:cs="Arial"/>
          <w:sz w:val="24"/>
          <w:szCs w:val="24"/>
        </w:rPr>
        <w:t xml:space="preserve"> y </w:t>
      </w:r>
      <w:r w:rsidRPr="009B6C40">
        <w:rPr>
          <w:rFonts w:ascii="Arial" w:hAnsi="Arial" w:cs="Arial"/>
          <w:b/>
          <w:sz w:val="24"/>
          <w:szCs w:val="24"/>
        </w:rPr>
        <w:t>ROBERTO SAER DACCARETT)</w:t>
      </w:r>
      <w:r w:rsidRPr="009B6C40">
        <w:rPr>
          <w:rFonts w:ascii="Arial" w:hAnsi="Arial" w:cs="Arial"/>
          <w:sz w:val="24"/>
          <w:szCs w:val="24"/>
        </w:rPr>
        <w:t xml:space="preserve">.  </w:t>
      </w:r>
    </w:p>
    <w:p w:rsidR="006D3A28" w:rsidRPr="009B6C40" w:rsidRDefault="006D3A28" w:rsidP="006D3A28">
      <w:pPr>
        <w:spacing w:after="0" w:line="240" w:lineRule="auto"/>
        <w:ind w:left="567"/>
        <w:jc w:val="both"/>
        <w:rPr>
          <w:rFonts w:ascii="Arial" w:hAnsi="Arial" w:cs="Arial"/>
          <w:sz w:val="24"/>
          <w:szCs w:val="24"/>
        </w:rPr>
      </w:pPr>
    </w:p>
    <w:p w:rsidR="006D3A28" w:rsidRPr="009B6C40" w:rsidRDefault="006D3A28" w:rsidP="006D3A28">
      <w:pPr>
        <w:spacing w:after="0" w:line="240" w:lineRule="auto"/>
        <w:ind w:left="567"/>
        <w:jc w:val="both"/>
        <w:rPr>
          <w:rFonts w:ascii="Arial" w:hAnsi="Arial" w:cs="Arial"/>
          <w:sz w:val="24"/>
          <w:szCs w:val="24"/>
        </w:rPr>
      </w:pPr>
      <w:r w:rsidRPr="009B6C40">
        <w:rPr>
          <w:rFonts w:ascii="Arial" w:hAnsi="Arial" w:cs="Arial"/>
          <w:sz w:val="24"/>
          <w:szCs w:val="24"/>
        </w:rPr>
        <w:t xml:space="preserve">La </w:t>
      </w:r>
      <w:r w:rsidRPr="009B6C40">
        <w:rPr>
          <w:rFonts w:ascii="Arial" w:hAnsi="Arial" w:cs="Arial"/>
          <w:b/>
          <w:sz w:val="24"/>
          <w:szCs w:val="24"/>
          <w:u w:val="single"/>
        </w:rPr>
        <w:t>tercera fase</w:t>
      </w:r>
      <w:r w:rsidRPr="009B6C40">
        <w:rPr>
          <w:rFonts w:ascii="Arial" w:hAnsi="Arial" w:cs="Arial"/>
          <w:sz w:val="24"/>
          <w:szCs w:val="24"/>
        </w:rPr>
        <w:t xml:space="preserve"> está relacionada con la reventa a precios superiores a los de taquilla respecto de la boletería desviada por parte de los integrantes del autodenominado “Grupo / Socios </w:t>
      </w:r>
      <w:r w:rsidRPr="009B6C40">
        <w:rPr>
          <w:rFonts w:ascii="Arial" w:hAnsi="Arial" w:cs="Arial"/>
          <w:b/>
          <w:sz w:val="24"/>
          <w:szCs w:val="24"/>
        </w:rPr>
        <w:t>TICKET YA</w:t>
      </w:r>
      <w:r w:rsidRPr="009B6C40">
        <w:rPr>
          <w:rFonts w:ascii="Arial" w:hAnsi="Arial" w:cs="Arial"/>
          <w:sz w:val="24"/>
          <w:szCs w:val="24"/>
        </w:rPr>
        <w:t xml:space="preserve">” con el conocimiento y autorización de la </w:t>
      </w:r>
      <w:r w:rsidRPr="009B6C40">
        <w:rPr>
          <w:rFonts w:ascii="Arial" w:hAnsi="Arial" w:cs="Arial"/>
          <w:b/>
          <w:sz w:val="24"/>
          <w:szCs w:val="24"/>
        </w:rPr>
        <w:t>FCF</w:t>
      </w:r>
      <w:r w:rsidRPr="009B6C40">
        <w:rPr>
          <w:rFonts w:ascii="Arial" w:hAnsi="Arial" w:cs="Arial"/>
          <w:sz w:val="24"/>
          <w:szCs w:val="24"/>
        </w:rPr>
        <w:t xml:space="preserve"> y sus altos directivos.</w:t>
      </w:r>
    </w:p>
    <w:p w:rsidR="006D3A28" w:rsidRPr="009B6C40" w:rsidRDefault="006D3A28" w:rsidP="006D3A28">
      <w:pPr>
        <w:spacing w:after="0" w:line="240" w:lineRule="auto"/>
        <w:ind w:left="567"/>
        <w:jc w:val="both"/>
        <w:rPr>
          <w:rFonts w:ascii="Arial" w:hAnsi="Arial" w:cs="Arial"/>
          <w:sz w:val="24"/>
          <w:szCs w:val="24"/>
        </w:rPr>
      </w:pPr>
    </w:p>
    <w:p w:rsidR="006D3A28" w:rsidRPr="009B6C40" w:rsidRDefault="006D3A28" w:rsidP="006D3A28">
      <w:pPr>
        <w:spacing w:after="0" w:line="240" w:lineRule="auto"/>
        <w:ind w:left="567"/>
        <w:jc w:val="both"/>
        <w:rPr>
          <w:rFonts w:ascii="Arial" w:hAnsi="Arial" w:cs="Arial"/>
          <w:sz w:val="24"/>
          <w:szCs w:val="24"/>
        </w:rPr>
      </w:pPr>
      <w:r w:rsidRPr="009B6C40">
        <w:rPr>
          <w:rFonts w:ascii="Arial" w:hAnsi="Arial" w:cs="Arial"/>
          <w:sz w:val="24"/>
          <w:szCs w:val="24"/>
        </w:rPr>
        <w:t xml:space="preserve">Sobre la ocurrencia de estos hechos, obran pruebas de las liquidaciones de algunas de las ventas al por mayor de boletería hechas a precios de hasta 350% superiores del precio de taquilla, realizadas en oficinas de </w:t>
      </w:r>
      <w:r w:rsidRPr="009B6C40">
        <w:rPr>
          <w:rFonts w:ascii="Arial" w:hAnsi="Arial" w:cs="Arial"/>
          <w:b/>
          <w:sz w:val="24"/>
          <w:szCs w:val="24"/>
        </w:rPr>
        <w:t>TICKETYA</w:t>
      </w:r>
      <w:r w:rsidRPr="009B6C40">
        <w:rPr>
          <w:rFonts w:ascii="Arial" w:hAnsi="Arial" w:cs="Arial"/>
          <w:sz w:val="24"/>
          <w:szCs w:val="24"/>
        </w:rPr>
        <w:t xml:space="preserve"> en la ciudad </w:t>
      </w:r>
      <w:r w:rsidRPr="009B6C40">
        <w:rPr>
          <w:rFonts w:ascii="Arial" w:hAnsi="Arial" w:cs="Arial"/>
          <w:sz w:val="24"/>
          <w:szCs w:val="24"/>
        </w:rPr>
        <w:lastRenderedPageBreak/>
        <w:t xml:space="preserve">de Barranquilla, lo cual hace suponer que las boletas adquiridas por el público se adquirieron con sobreprecios incluso superiores. Así mismo, obran en poder de la Superintendencia, documentos titulados como </w:t>
      </w:r>
      <w:r w:rsidRPr="009B6C40">
        <w:rPr>
          <w:rFonts w:ascii="Arial" w:hAnsi="Arial" w:cs="Arial"/>
          <w:i/>
          <w:sz w:val="24"/>
          <w:szCs w:val="24"/>
        </w:rPr>
        <w:t>“actas de socios”</w:t>
      </w:r>
      <w:r w:rsidRPr="009B6C40">
        <w:rPr>
          <w:rFonts w:ascii="Arial" w:hAnsi="Arial" w:cs="Arial"/>
          <w:sz w:val="24"/>
          <w:szCs w:val="24"/>
        </w:rPr>
        <w:t xml:space="preserve"> en los que se acordaron fijar los precios de reventa de la boletería por localidades, tal como si se tratara de precios oficiales.</w:t>
      </w:r>
    </w:p>
    <w:p w:rsidR="006D3A28" w:rsidRPr="009B6C40" w:rsidRDefault="006D3A28" w:rsidP="006D3A28">
      <w:pPr>
        <w:spacing w:after="0" w:line="240" w:lineRule="auto"/>
        <w:ind w:left="567"/>
        <w:jc w:val="both"/>
        <w:rPr>
          <w:rFonts w:ascii="Arial" w:hAnsi="Arial" w:cs="Arial"/>
          <w:sz w:val="24"/>
          <w:szCs w:val="24"/>
        </w:rPr>
      </w:pPr>
    </w:p>
    <w:p w:rsidR="006D3A28" w:rsidRPr="009B6C40" w:rsidRDefault="006D3A28" w:rsidP="006D3A28">
      <w:pPr>
        <w:spacing w:after="0" w:line="240" w:lineRule="auto"/>
        <w:ind w:left="567"/>
        <w:jc w:val="both"/>
        <w:rPr>
          <w:rFonts w:ascii="Arial" w:hAnsi="Arial" w:cs="Arial"/>
          <w:sz w:val="24"/>
          <w:szCs w:val="24"/>
        </w:rPr>
      </w:pPr>
      <w:r w:rsidRPr="009B6C40">
        <w:rPr>
          <w:rFonts w:ascii="Arial" w:hAnsi="Arial" w:cs="Arial"/>
          <w:sz w:val="24"/>
          <w:szCs w:val="24"/>
        </w:rPr>
        <w:t xml:space="preserve">Adicionalmente, otras pruebas acreditan que la </w:t>
      </w:r>
      <w:r w:rsidRPr="009B6C40">
        <w:rPr>
          <w:rFonts w:ascii="Arial" w:hAnsi="Arial" w:cs="Arial"/>
          <w:b/>
          <w:sz w:val="24"/>
          <w:szCs w:val="24"/>
        </w:rPr>
        <w:t>FCF</w:t>
      </w:r>
      <w:r w:rsidRPr="009B6C40">
        <w:rPr>
          <w:rFonts w:ascii="Arial" w:hAnsi="Arial" w:cs="Arial"/>
          <w:sz w:val="24"/>
          <w:szCs w:val="24"/>
        </w:rPr>
        <w:t xml:space="preserve">, a través de sus más altos directivos, autorizó el desvío de la boletería e incluso estuvo informada de los cortes de cuentas entre el operador oficial de la boletería </w:t>
      </w:r>
      <w:r w:rsidRPr="009B6C40">
        <w:rPr>
          <w:rFonts w:ascii="Arial" w:hAnsi="Arial" w:cs="Arial"/>
          <w:b/>
          <w:sz w:val="24"/>
          <w:szCs w:val="24"/>
        </w:rPr>
        <w:t>TICKETSHOP</w:t>
      </w:r>
      <w:r w:rsidRPr="009B6C40">
        <w:rPr>
          <w:rFonts w:ascii="Arial" w:hAnsi="Arial" w:cs="Arial"/>
          <w:sz w:val="24"/>
          <w:szCs w:val="24"/>
        </w:rPr>
        <w:t xml:space="preserve"> y el autodenominado “grupo / socios </w:t>
      </w:r>
      <w:r w:rsidRPr="009B6C40">
        <w:rPr>
          <w:rFonts w:ascii="Arial" w:hAnsi="Arial" w:cs="Arial"/>
          <w:b/>
          <w:sz w:val="24"/>
          <w:szCs w:val="24"/>
        </w:rPr>
        <w:t>TICKETYA”</w:t>
      </w:r>
    </w:p>
    <w:p w:rsidR="006D3A28" w:rsidRPr="009B6C40" w:rsidRDefault="006D3A28" w:rsidP="006D3A28">
      <w:pPr>
        <w:spacing w:after="0" w:line="240" w:lineRule="auto"/>
        <w:jc w:val="both"/>
        <w:rPr>
          <w:rFonts w:ascii="Arial" w:hAnsi="Arial" w:cs="Arial"/>
          <w:sz w:val="24"/>
          <w:szCs w:val="24"/>
        </w:rPr>
      </w:pPr>
    </w:p>
    <w:p w:rsidR="006D3A28" w:rsidRPr="009B6C40" w:rsidRDefault="006D3A28" w:rsidP="006D3A28">
      <w:pPr>
        <w:pStyle w:val="Prrafodelista"/>
        <w:numPr>
          <w:ilvl w:val="0"/>
          <w:numId w:val="8"/>
        </w:numPr>
        <w:spacing w:after="0" w:line="240" w:lineRule="auto"/>
        <w:ind w:left="0" w:firstLine="360"/>
        <w:contextualSpacing/>
        <w:jc w:val="both"/>
        <w:rPr>
          <w:rFonts w:ascii="Arial" w:hAnsi="Arial" w:cs="Arial"/>
          <w:sz w:val="24"/>
          <w:szCs w:val="24"/>
        </w:rPr>
      </w:pPr>
      <w:r w:rsidRPr="009B6C40">
        <w:rPr>
          <w:rFonts w:ascii="Arial" w:hAnsi="Arial" w:cs="Arial"/>
          <w:sz w:val="24"/>
          <w:szCs w:val="24"/>
        </w:rPr>
        <w:t xml:space="preserve">La Superintendencia de Industria y Comercio pudo establecer que el </w:t>
      </w:r>
      <w:r w:rsidRPr="009B6C40">
        <w:rPr>
          <w:rFonts w:ascii="Arial" w:hAnsi="Arial" w:cs="Arial"/>
          <w:b/>
          <w:sz w:val="24"/>
          <w:szCs w:val="24"/>
        </w:rPr>
        <w:t>precio de taquilla</w:t>
      </w:r>
      <w:r w:rsidRPr="009B6C40">
        <w:rPr>
          <w:rFonts w:ascii="Arial" w:hAnsi="Arial" w:cs="Arial"/>
          <w:sz w:val="24"/>
          <w:szCs w:val="24"/>
        </w:rPr>
        <w:t xml:space="preserve"> (valor nominal) de las </w:t>
      </w:r>
      <w:r w:rsidRPr="009B6C40">
        <w:rPr>
          <w:rFonts w:ascii="Arial" w:hAnsi="Arial" w:cs="Arial"/>
          <w:b/>
          <w:sz w:val="24"/>
          <w:szCs w:val="24"/>
        </w:rPr>
        <w:t>42.221 boletas</w:t>
      </w:r>
      <w:r w:rsidRPr="009B6C40">
        <w:rPr>
          <w:rFonts w:ascii="Arial" w:hAnsi="Arial" w:cs="Arial"/>
          <w:sz w:val="24"/>
          <w:szCs w:val="24"/>
        </w:rPr>
        <w:t xml:space="preserve"> desviadas masivamente con fines de reventa equivale a una suma superior a los </w:t>
      </w:r>
      <w:r w:rsidRPr="009B6C40">
        <w:rPr>
          <w:rFonts w:ascii="Arial" w:hAnsi="Arial" w:cs="Arial"/>
          <w:b/>
          <w:sz w:val="24"/>
          <w:szCs w:val="24"/>
        </w:rPr>
        <w:t>$ 8 MIL 700 millones</w:t>
      </w:r>
      <w:r w:rsidRPr="009B6C40">
        <w:rPr>
          <w:rFonts w:ascii="Arial" w:hAnsi="Arial" w:cs="Arial"/>
          <w:sz w:val="24"/>
          <w:szCs w:val="24"/>
        </w:rPr>
        <w:t xml:space="preserve"> de pesos y que en un escenario conservador estimado con base en las pruebas que obran en el expediente</w:t>
      </w:r>
      <w:r>
        <w:rPr>
          <w:rFonts w:ascii="Arial" w:hAnsi="Arial" w:cs="Arial"/>
          <w:sz w:val="24"/>
          <w:szCs w:val="24"/>
        </w:rPr>
        <w:t>,</w:t>
      </w:r>
      <w:r w:rsidRPr="009B6C40">
        <w:rPr>
          <w:rFonts w:ascii="Arial" w:hAnsi="Arial" w:cs="Arial"/>
          <w:sz w:val="24"/>
          <w:szCs w:val="24"/>
        </w:rPr>
        <w:t xml:space="preserve"> sobre los valores en que </w:t>
      </w:r>
      <w:r w:rsidRPr="009B6C40">
        <w:rPr>
          <w:rFonts w:ascii="Arial" w:hAnsi="Arial" w:cs="Arial"/>
          <w:b/>
          <w:sz w:val="24"/>
          <w:szCs w:val="24"/>
        </w:rPr>
        <w:t>TICKET YA</w:t>
      </w:r>
      <w:r w:rsidRPr="009B6C40">
        <w:rPr>
          <w:rFonts w:ascii="Arial" w:hAnsi="Arial" w:cs="Arial"/>
          <w:sz w:val="24"/>
          <w:szCs w:val="24"/>
        </w:rPr>
        <w:t xml:space="preserve"> revendía las boletas en el primer eslabón de reventa, esas </w:t>
      </w:r>
      <w:r w:rsidRPr="009B6C40">
        <w:rPr>
          <w:rFonts w:ascii="Arial" w:hAnsi="Arial" w:cs="Arial"/>
          <w:b/>
          <w:sz w:val="24"/>
          <w:szCs w:val="24"/>
        </w:rPr>
        <w:t>42.221 boletas</w:t>
      </w:r>
      <w:r w:rsidRPr="009B6C40">
        <w:rPr>
          <w:rFonts w:ascii="Arial" w:hAnsi="Arial" w:cs="Arial"/>
          <w:sz w:val="24"/>
          <w:szCs w:val="24"/>
        </w:rPr>
        <w:t xml:space="preserve"> hubiesen podido generar ingresos a los revendedores integrantes del autodenominado “Grupo / Socios </w:t>
      </w:r>
      <w:r w:rsidRPr="009B6C40">
        <w:rPr>
          <w:rFonts w:ascii="Arial" w:hAnsi="Arial" w:cs="Arial"/>
          <w:b/>
          <w:sz w:val="24"/>
          <w:szCs w:val="24"/>
        </w:rPr>
        <w:t>TICKET YA</w:t>
      </w:r>
      <w:r w:rsidRPr="009B6C40">
        <w:rPr>
          <w:rFonts w:ascii="Arial" w:hAnsi="Arial" w:cs="Arial"/>
          <w:sz w:val="24"/>
          <w:szCs w:val="24"/>
        </w:rPr>
        <w:t xml:space="preserve">” en el primer eslabón de reventa por más de </w:t>
      </w:r>
      <w:r w:rsidRPr="009B6C40">
        <w:rPr>
          <w:rFonts w:ascii="Arial" w:hAnsi="Arial" w:cs="Arial"/>
          <w:b/>
          <w:sz w:val="24"/>
          <w:szCs w:val="24"/>
        </w:rPr>
        <w:t>$ 21 MIL</w:t>
      </w:r>
      <w:r w:rsidRPr="009B6C40">
        <w:rPr>
          <w:rFonts w:ascii="Arial" w:hAnsi="Arial" w:cs="Arial"/>
          <w:sz w:val="24"/>
          <w:szCs w:val="24"/>
        </w:rPr>
        <w:t xml:space="preserve"> </w:t>
      </w:r>
      <w:r w:rsidRPr="009B6C40">
        <w:rPr>
          <w:rFonts w:ascii="Arial" w:hAnsi="Arial" w:cs="Arial"/>
          <w:b/>
          <w:sz w:val="24"/>
          <w:szCs w:val="24"/>
        </w:rPr>
        <w:t>800 millones</w:t>
      </w:r>
      <w:r w:rsidRPr="009B6C40">
        <w:rPr>
          <w:rFonts w:ascii="Arial" w:hAnsi="Arial" w:cs="Arial"/>
          <w:sz w:val="24"/>
          <w:szCs w:val="24"/>
        </w:rPr>
        <w:t xml:space="preserve"> de pesos, aproximadamente con una utilidad de más de </w:t>
      </w:r>
      <w:r w:rsidRPr="009B6C40">
        <w:rPr>
          <w:rFonts w:ascii="Arial" w:hAnsi="Arial" w:cs="Arial"/>
          <w:b/>
          <w:sz w:val="24"/>
          <w:szCs w:val="24"/>
        </w:rPr>
        <w:t>13 MIL</w:t>
      </w:r>
      <w:r w:rsidRPr="009B6C40">
        <w:rPr>
          <w:rFonts w:ascii="Arial" w:hAnsi="Arial" w:cs="Arial"/>
          <w:sz w:val="24"/>
          <w:szCs w:val="24"/>
        </w:rPr>
        <w:t xml:space="preserve"> millones de pesos.</w:t>
      </w:r>
    </w:p>
    <w:p w:rsidR="006D3A28" w:rsidRDefault="006D3A28" w:rsidP="006D3A28">
      <w:pPr>
        <w:jc w:val="center"/>
        <w:rPr>
          <w:rFonts w:ascii="Arial" w:hAnsi="Arial" w:cs="Arial"/>
          <w:b/>
        </w:rPr>
      </w:pPr>
    </w:p>
    <w:p w:rsidR="006D3A28" w:rsidRDefault="006D3A28" w:rsidP="006D3A28">
      <w:pPr>
        <w:jc w:val="center"/>
        <w:rPr>
          <w:rFonts w:ascii="Arial" w:hAnsi="Arial" w:cs="Arial"/>
        </w:rPr>
      </w:pPr>
      <w:r w:rsidRPr="00E94566">
        <w:rPr>
          <w:rFonts w:ascii="Arial" w:hAnsi="Arial" w:cs="Arial"/>
          <w:b/>
        </w:rPr>
        <w:t>Tabla. Distribución del total de boletas desviadas y valor nominal (precio taquilla) de venta y reventa por partido</w:t>
      </w:r>
    </w:p>
    <w:tbl>
      <w:tblPr>
        <w:tblStyle w:val="Tablaconcuadrcula"/>
        <w:tblW w:w="9639" w:type="dxa"/>
        <w:jc w:val="center"/>
        <w:tblLayout w:type="fixed"/>
        <w:tblLook w:val="04A0" w:firstRow="1" w:lastRow="0" w:firstColumn="1" w:lastColumn="0" w:noHBand="0" w:noVBand="1"/>
      </w:tblPr>
      <w:tblGrid>
        <w:gridCol w:w="2410"/>
        <w:gridCol w:w="1276"/>
        <w:gridCol w:w="1701"/>
        <w:gridCol w:w="2126"/>
        <w:gridCol w:w="2126"/>
      </w:tblGrid>
      <w:tr w:rsidR="006D3A28" w:rsidRPr="00804D89" w:rsidTr="006C41D8">
        <w:trPr>
          <w:jc w:val="center"/>
        </w:trPr>
        <w:tc>
          <w:tcPr>
            <w:tcW w:w="2410" w:type="dxa"/>
            <w:shd w:val="clear" w:color="auto" w:fill="DEEAF6" w:themeFill="accent1"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b/>
                <w:bCs/>
                <w:sz w:val="18"/>
                <w:szCs w:val="18"/>
              </w:rPr>
              <w:t>Partido</w:t>
            </w:r>
          </w:p>
        </w:tc>
        <w:tc>
          <w:tcPr>
            <w:tcW w:w="1276" w:type="dxa"/>
            <w:shd w:val="clear" w:color="auto" w:fill="DEEAF6" w:themeFill="accent1"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b/>
                <w:bCs/>
                <w:sz w:val="18"/>
                <w:szCs w:val="18"/>
              </w:rPr>
              <w:t>Boletas Revendidas</w:t>
            </w:r>
          </w:p>
        </w:tc>
        <w:tc>
          <w:tcPr>
            <w:tcW w:w="1701" w:type="dxa"/>
            <w:shd w:val="clear" w:color="auto" w:fill="DEEAF6" w:themeFill="accent1" w:themeFillTint="33"/>
            <w:vAlign w:val="center"/>
          </w:tcPr>
          <w:p w:rsidR="006D3A28" w:rsidRPr="00804D89" w:rsidRDefault="006D3A28" w:rsidP="006D3A28">
            <w:pPr>
              <w:spacing w:after="0"/>
              <w:jc w:val="center"/>
              <w:rPr>
                <w:rFonts w:ascii="Arial" w:hAnsi="Arial" w:cs="Arial"/>
                <w:b/>
                <w:bCs/>
                <w:sz w:val="18"/>
                <w:szCs w:val="18"/>
              </w:rPr>
            </w:pPr>
            <w:r w:rsidRPr="00804D89">
              <w:rPr>
                <w:rFonts w:ascii="Arial" w:hAnsi="Arial" w:cs="Arial"/>
                <w:b/>
                <w:bCs/>
                <w:sz w:val="18"/>
                <w:szCs w:val="18"/>
              </w:rPr>
              <w:t>Valor Nominal</w:t>
            </w:r>
          </w:p>
          <w:p w:rsidR="006D3A28" w:rsidRPr="00804D89" w:rsidRDefault="006D3A28" w:rsidP="006D3A28">
            <w:pPr>
              <w:spacing w:after="0"/>
              <w:jc w:val="center"/>
              <w:rPr>
                <w:rFonts w:ascii="Arial" w:hAnsi="Arial" w:cs="Arial"/>
                <w:sz w:val="18"/>
                <w:szCs w:val="18"/>
              </w:rPr>
            </w:pPr>
            <w:r w:rsidRPr="00804D89">
              <w:rPr>
                <w:rFonts w:ascii="Arial" w:hAnsi="Arial" w:cs="Arial"/>
                <w:b/>
                <w:bCs/>
                <w:sz w:val="18"/>
                <w:szCs w:val="18"/>
              </w:rPr>
              <w:t>Precio de Taquilla</w:t>
            </w:r>
          </w:p>
        </w:tc>
        <w:tc>
          <w:tcPr>
            <w:tcW w:w="2126" w:type="dxa"/>
            <w:shd w:val="clear" w:color="auto" w:fill="DEEAF6" w:themeFill="accent1" w:themeFillTint="33"/>
            <w:vAlign w:val="center"/>
          </w:tcPr>
          <w:p w:rsidR="006D3A28" w:rsidRPr="00804D89" w:rsidRDefault="006D3A28" w:rsidP="006D3A28">
            <w:pPr>
              <w:spacing w:after="0"/>
              <w:jc w:val="center"/>
              <w:rPr>
                <w:rFonts w:ascii="Arial" w:hAnsi="Arial" w:cs="Arial"/>
                <w:b/>
                <w:sz w:val="18"/>
                <w:szCs w:val="18"/>
              </w:rPr>
            </w:pPr>
            <w:r w:rsidRPr="00804D89">
              <w:rPr>
                <w:rFonts w:ascii="Arial" w:hAnsi="Arial" w:cs="Arial"/>
                <w:b/>
                <w:sz w:val="18"/>
                <w:szCs w:val="18"/>
              </w:rPr>
              <w:t>Valor estimado de venta en primer eslabón de la reventa</w:t>
            </w:r>
          </w:p>
          <w:p w:rsidR="006D3A28" w:rsidRPr="00804D89" w:rsidRDefault="006D3A28" w:rsidP="006D3A28">
            <w:pPr>
              <w:spacing w:after="0"/>
              <w:jc w:val="center"/>
              <w:rPr>
                <w:rFonts w:ascii="Arial" w:hAnsi="Arial" w:cs="Arial"/>
                <w:b/>
                <w:sz w:val="18"/>
                <w:szCs w:val="18"/>
              </w:rPr>
            </w:pPr>
            <w:r w:rsidRPr="00804D89">
              <w:rPr>
                <w:rFonts w:ascii="Arial" w:hAnsi="Arial" w:cs="Arial"/>
                <w:b/>
                <w:sz w:val="18"/>
                <w:szCs w:val="18"/>
              </w:rPr>
              <w:t>Escenario conservador</w:t>
            </w:r>
          </w:p>
          <w:p w:rsidR="006D3A28" w:rsidRPr="00804D89" w:rsidRDefault="006D3A28" w:rsidP="006D3A28">
            <w:pPr>
              <w:spacing w:after="0"/>
              <w:jc w:val="center"/>
              <w:rPr>
                <w:rFonts w:ascii="Arial" w:hAnsi="Arial" w:cs="Arial"/>
                <w:b/>
                <w:sz w:val="18"/>
                <w:szCs w:val="18"/>
              </w:rPr>
            </w:pPr>
            <w:r w:rsidRPr="00804D89">
              <w:rPr>
                <w:rFonts w:ascii="Arial" w:hAnsi="Arial" w:cs="Arial"/>
                <w:b/>
                <w:sz w:val="18"/>
                <w:szCs w:val="18"/>
              </w:rPr>
              <w:t>150% sobrecosto</w:t>
            </w:r>
          </w:p>
        </w:tc>
        <w:tc>
          <w:tcPr>
            <w:tcW w:w="2126" w:type="dxa"/>
            <w:shd w:val="clear" w:color="auto" w:fill="DEEAF6" w:themeFill="accent1" w:themeFillTint="33"/>
            <w:vAlign w:val="center"/>
          </w:tcPr>
          <w:p w:rsidR="006D3A28" w:rsidRPr="00804D89" w:rsidRDefault="006D3A28" w:rsidP="006D3A28">
            <w:pPr>
              <w:spacing w:after="0"/>
              <w:jc w:val="center"/>
              <w:rPr>
                <w:rFonts w:ascii="Arial" w:hAnsi="Arial" w:cs="Arial"/>
                <w:b/>
                <w:sz w:val="18"/>
                <w:szCs w:val="18"/>
              </w:rPr>
            </w:pPr>
            <w:r w:rsidRPr="00804D89">
              <w:rPr>
                <w:rFonts w:ascii="Arial" w:hAnsi="Arial" w:cs="Arial"/>
                <w:b/>
                <w:sz w:val="18"/>
                <w:szCs w:val="18"/>
              </w:rPr>
              <w:t>Sobre costo derivado de la reventa</w:t>
            </w:r>
          </w:p>
          <w:p w:rsidR="006D3A28" w:rsidRPr="00804D89" w:rsidRDefault="006D3A28" w:rsidP="006D3A28">
            <w:pPr>
              <w:spacing w:after="0"/>
              <w:jc w:val="center"/>
              <w:rPr>
                <w:rFonts w:ascii="Arial" w:hAnsi="Arial" w:cs="Arial"/>
                <w:b/>
                <w:sz w:val="18"/>
                <w:szCs w:val="18"/>
              </w:rPr>
            </w:pPr>
            <w:r w:rsidRPr="00804D89">
              <w:rPr>
                <w:rFonts w:ascii="Arial" w:hAnsi="Arial" w:cs="Arial"/>
                <w:b/>
                <w:sz w:val="18"/>
                <w:szCs w:val="18"/>
              </w:rPr>
              <w:t>Utilidad ilegal</w:t>
            </w:r>
          </w:p>
          <w:p w:rsidR="006D3A28" w:rsidRPr="00804D89" w:rsidRDefault="006D3A28" w:rsidP="006D3A28">
            <w:pPr>
              <w:spacing w:after="0"/>
              <w:jc w:val="center"/>
              <w:rPr>
                <w:rFonts w:ascii="Arial" w:hAnsi="Arial" w:cs="Arial"/>
                <w:b/>
                <w:sz w:val="18"/>
                <w:szCs w:val="18"/>
              </w:rPr>
            </w:pPr>
            <w:r w:rsidRPr="00804D89">
              <w:rPr>
                <w:rFonts w:ascii="Arial" w:hAnsi="Arial" w:cs="Arial"/>
                <w:b/>
                <w:sz w:val="18"/>
                <w:szCs w:val="18"/>
              </w:rPr>
              <w:t>Escenario conservador</w:t>
            </w:r>
          </w:p>
          <w:p w:rsidR="006D3A28" w:rsidRPr="00804D89" w:rsidRDefault="006D3A28" w:rsidP="006D3A28">
            <w:pPr>
              <w:spacing w:after="0"/>
              <w:jc w:val="center"/>
              <w:rPr>
                <w:rFonts w:ascii="Arial" w:hAnsi="Arial" w:cs="Arial"/>
                <w:b/>
                <w:sz w:val="18"/>
                <w:szCs w:val="18"/>
              </w:rPr>
            </w:pPr>
            <w:r w:rsidRPr="00804D89">
              <w:rPr>
                <w:rFonts w:ascii="Arial" w:hAnsi="Arial" w:cs="Arial"/>
                <w:b/>
                <w:sz w:val="18"/>
                <w:szCs w:val="18"/>
              </w:rPr>
              <w:t>150% sobrecosto</w:t>
            </w:r>
          </w:p>
          <w:p w:rsidR="006D3A28" w:rsidRPr="00804D89" w:rsidRDefault="006D3A28" w:rsidP="006D3A28">
            <w:pPr>
              <w:spacing w:after="0"/>
              <w:jc w:val="center"/>
              <w:rPr>
                <w:rFonts w:ascii="Arial" w:hAnsi="Arial" w:cs="Arial"/>
                <w:b/>
                <w:sz w:val="18"/>
                <w:szCs w:val="18"/>
              </w:rPr>
            </w:pPr>
          </w:p>
        </w:tc>
      </w:tr>
      <w:tr w:rsidR="006D3A28" w:rsidRPr="00804D89" w:rsidTr="006C41D8">
        <w:trPr>
          <w:jc w:val="center"/>
        </w:trPr>
        <w:tc>
          <w:tcPr>
            <w:tcW w:w="2410" w:type="dxa"/>
            <w:shd w:val="clear" w:color="auto" w:fill="F2F2F2" w:themeFill="background1" w:themeFillShade="F2"/>
            <w:vAlign w:val="center"/>
          </w:tcPr>
          <w:p w:rsidR="006D3A28" w:rsidRPr="00804D89" w:rsidRDefault="006D3A28" w:rsidP="006D3A28">
            <w:pPr>
              <w:spacing w:after="0"/>
              <w:rPr>
                <w:rFonts w:ascii="Arial" w:hAnsi="Arial" w:cs="Arial"/>
                <w:sz w:val="18"/>
                <w:szCs w:val="18"/>
              </w:rPr>
            </w:pPr>
            <w:r w:rsidRPr="00804D89">
              <w:rPr>
                <w:rFonts w:ascii="Arial" w:hAnsi="Arial" w:cs="Arial"/>
                <w:sz w:val="18"/>
                <w:szCs w:val="18"/>
              </w:rPr>
              <w:t>1. Colombia vs. Perú</w:t>
            </w:r>
          </w:p>
        </w:tc>
        <w:tc>
          <w:tcPr>
            <w:tcW w:w="127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3.075</w:t>
            </w:r>
          </w:p>
        </w:tc>
        <w:tc>
          <w:tcPr>
            <w:tcW w:w="1701"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$ 813.840.800</w:t>
            </w:r>
          </w:p>
        </w:tc>
        <w:tc>
          <w:tcPr>
            <w:tcW w:w="212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$ 2.034.602.000</w:t>
            </w:r>
          </w:p>
        </w:tc>
        <w:tc>
          <w:tcPr>
            <w:tcW w:w="2126" w:type="dxa"/>
            <w:shd w:val="clear" w:color="auto" w:fill="F2F2F2" w:themeFill="background1" w:themeFillShade="F2"/>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$ 1.220.761.200</w:t>
            </w:r>
          </w:p>
        </w:tc>
      </w:tr>
      <w:tr w:rsidR="006D3A28" w:rsidRPr="00804D89" w:rsidTr="006C41D8">
        <w:trPr>
          <w:jc w:val="center"/>
        </w:trPr>
        <w:tc>
          <w:tcPr>
            <w:tcW w:w="2410" w:type="dxa"/>
            <w:shd w:val="clear" w:color="auto" w:fill="F2F2F2" w:themeFill="background1" w:themeFillShade="F2"/>
            <w:vAlign w:val="center"/>
          </w:tcPr>
          <w:p w:rsidR="006D3A28" w:rsidRPr="00804D89" w:rsidRDefault="006D3A28" w:rsidP="006D3A28">
            <w:pPr>
              <w:spacing w:after="0"/>
              <w:rPr>
                <w:rFonts w:ascii="Arial" w:hAnsi="Arial" w:cs="Arial"/>
                <w:sz w:val="18"/>
                <w:szCs w:val="18"/>
              </w:rPr>
            </w:pPr>
            <w:r w:rsidRPr="00804D89">
              <w:rPr>
                <w:rFonts w:ascii="Arial" w:hAnsi="Arial" w:cs="Arial"/>
                <w:sz w:val="18"/>
                <w:szCs w:val="18"/>
              </w:rPr>
              <w:t>2. Colombia vs. Argentina</w:t>
            </w:r>
          </w:p>
        </w:tc>
        <w:tc>
          <w:tcPr>
            <w:tcW w:w="127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3.662</w:t>
            </w:r>
          </w:p>
        </w:tc>
        <w:tc>
          <w:tcPr>
            <w:tcW w:w="1701"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$ 717.120.000</w:t>
            </w:r>
          </w:p>
        </w:tc>
        <w:tc>
          <w:tcPr>
            <w:tcW w:w="212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$ 1.792.800.000</w:t>
            </w:r>
          </w:p>
        </w:tc>
        <w:tc>
          <w:tcPr>
            <w:tcW w:w="2126" w:type="dxa"/>
            <w:shd w:val="clear" w:color="auto" w:fill="F2F2F2" w:themeFill="background1" w:themeFillShade="F2"/>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$ 1.075.680.000</w:t>
            </w:r>
          </w:p>
        </w:tc>
      </w:tr>
      <w:tr w:rsidR="006D3A28" w:rsidRPr="00804D89" w:rsidTr="006C41D8">
        <w:trPr>
          <w:jc w:val="center"/>
        </w:trPr>
        <w:tc>
          <w:tcPr>
            <w:tcW w:w="2410" w:type="dxa"/>
            <w:shd w:val="clear" w:color="auto" w:fill="F2F2F2" w:themeFill="background1" w:themeFillShade="F2"/>
            <w:vAlign w:val="center"/>
          </w:tcPr>
          <w:p w:rsidR="006D3A28" w:rsidRPr="00804D89" w:rsidRDefault="006D3A28" w:rsidP="006D3A28">
            <w:pPr>
              <w:spacing w:after="0"/>
              <w:rPr>
                <w:rFonts w:ascii="Arial" w:hAnsi="Arial" w:cs="Arial"/>
                <w:sz w:val="18"/>
                <w:szCs w:val="18"/>
              </w:rPr>
            </w:pPr>
            <w:r w:rsidRPr="00804D89">
              <w:rPr>
                <w:rFonts w:ascii="Arial" w:hAnsi="Arial" w:cs="Arial"/>
                <w:sz w:val="18"/>
                <w:szCs w:val="18"/>
              </w:rPr>
              <w:t>3. Colombia vs. Ecuador</w:t>
            </w:r>
          </w:p>
        </w:tc>
        <w:tc>
          <w:tcPr>
            <w:tcW w:w="127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3.372</w:t>
            </w:r>
          </w:p>
        </w:tc>
        <w:tc>
          <w:tcPr>
            <w:tcW w:w="1701"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$ 721.320.000</w:t>
            </w:r>
          </w:p>
        </w:tc>
        <w:tc>
          <w:tcPr>
            <w:tcW w:w="212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$ 1.803.300.000</w:t>
            </w:r>
          </w:p>
        </w:tc>
        <w:tc>
          <w:tcPr>
            <w:tcW w:w="2126" w:type="dxa"/>
            <w:shd w:val="clear" w:color="auto" w:fill="F2F2F2" w:themeFill="background1" w:themeFillShade="F2"/>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$ 1.081.980.000</w:t>
            </w:r>
          </w:p>
        </w:tc>
      </w:tr>
      <w:tr w:rsidR="006D3A28" w:rsidRPr="00804D89" w:rsidTr="006C41D8">
        <w:trPr>
          <w:trHeight w:val="108"/>
          <w:jc w:val="center"/>
        </w:trPr>
        <w:tc>
          <w:tcPr>
            <w:tcW w:w="2410" w:type="dxa"/>
            <w:shd w:val="clear" w:color="auto" w:fill="F2F2F2" w:themeFill="background1" w:themeFillShade="F2"/>
            <w:vAlign w:val="center"/>
          </w:tcPr>
          <w:p w:rsidR="006D3A28" w:rsidRPr="00804D89" w:rsidRDefault="006D3A28" w:rsidP="006D3A28">
            <w:pPr>
              <w:spacing w:after="0"/>
              <w:rPr>
                <w:rFonts w:ascii="Arial" w:hAnsi="Arial" w:cs="Arial"/>
                <w:sz w:val="18"/>
                <w:szCs w:val="18"/>
              </w:rPr>
            </w:pPr>
            <w:r w:rsidRPr="00804D89">
              <w:rPr>
                <w:rFonts w:ascii="Arial" w:hAnsi="Arial" w:cs="Arial"/>
                <w:sz w:val="18"/>
                <w:szCs w:val="18"/>
              </w:rPr>
              <w:t>4. Colombia vs. Venezuela</w:t>
            </w:r>
          </w:p>
        </w:tc>
        <w:tc>
          <w:tcPr>
            <w:tcW w:w="127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2.730</w:t>
            </w:r>
          </w:p>
        </w:tc>
        <w:tc>
          <w:tcPr>
            <w:tcW w:w="1701"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$ 614.680.000</w:t>
            </w:r>
          </w:p>
        </w:tc>
        <w:tc>
          <w:tcPr>
            <w:tcW w:w="212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$ 1.536.700.000</w:t>
            </w:r>
          </w:p>
        </w:tc>
        <w:tc>
          <w:tcPr>
            <w:tcW w:w="2126" w:type="dxa"/>
            <w:shd w:val="clear" w:color="auto" w:fill="F2F2F2" w:themeFill="background1" w:themeFillShade="F2"/>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$ 922.020.000</w:t>
            </w:r>
          </w:p>
        </w:tc>
      </w:tr>
      <w:tr w:rsidR="006D3A28" w:rsidRPr="00804D89" w:rsidTr="006C41D8">
        <w:trPr>
          <w:jc w:val="center"/>
        </w:trPr>
        <w:tc>
          <w:tcPr>
            <w:tcW w:w="2410" w:type="dxa"/>
            <w:shd w:val="clear" w:color="auto" w:fill="F2F2F2" w:themeFill="background1" w:themeFillShade="F2"/>
            <w:vAlign w:val="center"/>
          </w:tcPr>
          <w:p w:rsidR="006D3A28" w:rsidRPr="00804D89" w:rsidRDefault="006D3A28" w:rsidP="006D3A28">
            <w:pPr>
              <w:spacing w:after="0"/>
              <w:rPr>
                <w:rFonts w:ascii="Arial" w:hAnsi="Arial" w:cs="Arial"/>
                <w:sz w:val="18"/>
                <w:szCs w:val="18"/>
              </w:rPr>
            </w:pPr>
            <w:r w:rsidRPr="00804D89">
              <w:rPr>
                <w:rFonts w:ascii="Arial" w:hAnsi="Arial" w:cs="Arial"/>
                <w:sz w:val="18"/>
                <w:szCs w:val="18"/>
              </w:rPr>
              <w:t>5. Colombia vs. Uruguay</w:t>
            </w:r>
          </w:p>
        </w:tc>
        <w:tc>
          <w:tcPr>
            <w:tcW w:w="127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4.269</w:t>
            </w:r>
          </w:p>
        </w:tc>
        <w:tc>
          <w:tcPr>
            <w:tcW w:w="1701"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$ 1.027.650.000</w:t>
            </w:r>
          </w:p>
        </w:tc>
        <w:tc>
          <w:tcPr>
            <w:tcW w:w="212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$ 2.569.125.000</w:t>
            </w:r>
          </w:p>
        </w:tc>
        <w:tc>
          <w:tcPr>
            <w:tcW w:w="2126" w:type="dxa"/>
            <w:shd w:val="clear" w:color="auto" w:fill="F2F2F2" w:themeFill="background1" w:themeFillShade="F2"/>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$ 1.541.475.000</w:t>
            </w:r>
          </w:p>
        </w:tc>
      </w:tr>
      <w:tr w:rsidR="006D3A28" w:rsidRPr="00804D89" w:rsidTr="006C41D8">
        <w:trPr>
          <w:jc w:val="center"/>
        </w:trPr>
        <w:tc>
          <w:tcPr>
            <w:tcW w:w="2410" w:type="dxa"/>
            <w:shd w:val="clear" w:color="auto" w:fill="F2F2F2" w:themeFill="background1" w:themeFillShade="F2"/>
            <w:vAlign w:val="center"/>
          </w:tcPr>
          <w:p w:rsidR="006D3A28" w:rsidRPr="00804D89" w:rsidRDefault="006D3A28" w:rsidP="006D3A28">
            <w:pPr>
              <w:spacing w:after="0"/>
              <w:rPr>
                <w:rFonts w:ascii="Arial" w:hAnsi="Arial" w:cs="Arial"/>
                <w:sz w:val="18"/>
                <w:szCs w:val="18"/>
              </w:rPr>
            </w:pPr>
            <w:r w:rsidRPr="00804D89">
              <w:rPr>
                <w:rFonts w:ascii="Arial" w:hAnsi="Arial" w:cs="Arial"/>
                <w:sz w:val="18"/>
                <w:szCs w:val="18"/>
              </w:rPr>
              <w:t>6. Colombia vs. Chile</w:t>
            </w:r>
          </w:p>
        </w:tc>
        <w:tc>
          <w:tcPr>
            <w:tcW w:w="127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6.003</w:t>
            </w:r>
          </w:p>
        </w:tc>
        <w:tc>
          <w:tcPr>
            <w:tcW w:w="1701"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$ 1.222.050.000</w:t>
            </w:r>
          </w:p>
        </w:tc>
        <w:tc>
          <w:tcPr>
            <w:tcW w:w="2126" w:type="dxa"/>
            <w:shd w:val="clear" w:color="auto" w:fill="FFF2CC" w:themeFill="accent4" w:themeFillTint="33"/>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$ 3.055.125.000</w:t>
            </w:r>
          </w:p>
        </w:tc>
        <w:tc>
          <w:tcPr>
            <w:tcW w:w="2126" w:type="dxa"/>
            <w:shd w:val="clear" w:color="auto" w:fill="F2F2F2" w:themeFill="background1" w:themeFillShade="F2"/>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$ 1.833.075.000</w:t>
            </w:r>
          </w:p>
        </w:tc>
      </w:tr>
      <w:tr w:rsidR="006D3A28" w:rsidRPr="00804D89" w:rsidTr="006C41D8">
        <w:trPr>
          <w:jc w:val="center"/>
        </w:trPr>
        <w:tc>
          <w:tcPr>
            <w:tcW w:w="2410" w:type="dxa"/>
            <w:shd w:val="clear" w:color="auto" w:fill="F2F2F2" w:themeFill="background1" w:themeFillShade="F2"/>
            <w:vAlign w:val="center"/>
          </w:tcPr>
          <w:p w:rsidR="006D3A28" w:rsidRPr="00804D89" w:rsidRDefault="006D3A28" w:rsidP="006D3A28">
            <w:pPr>
              <w:spacing w:after="0"/>
              <w:rPr>
                <w:rFonts w:ascii="Arial" w:hAnsi="Arial" w:cs="Arial"/>
                <w:sz w:val="18"/>
                <w:szCs w:val="18"/>
              </w:rPr>
            </w:pPr>
            <w:r w:rsidRPr="00804D89">
              <w:rPr>
                <w:rFonts w:ascii="Arial" w:hAnsi="Arial" w:cs="Arial"/>
                <w:sz w:val="18"/>
                <w:szCs w:val="18"/>
              </w:rPr>
              <w:t>7. Colombia vs. Bolivia</w:t>
            </w:r>
          </w:p>
        </w:tc>
        <w:tc>
          <w:tcPr>
            <w:tcW w:w="127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4.903</w:t>
            </w:r>
          </w:p>
        </w:tc>
        <w:tc>
          <w:tcPr>
            <w:tcW w:w="1701"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$ 764.250.000</w:t>
            </w:r>
          </w:p>
        </w:tc>
        <w:tc>
          <w:tcPr>
            <w:tcW w:w="2126" w:type="dxa"/>
            <w:shd w:val="clear" w:color="auto" w:fill="FFF2CC" w:themeFill="accent4" w:themeFillTint="33"/>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$ 1.910.625.000</w:t>
            </w:r>
          </w:p>
        </w:tc>
        <w:tc>
          <w:tcPr>
            <w:tcW w:w="2126" w:type="dxa"/>
            <w:shd w:val="clear" w:color="auto" w:fill="F2F2F2" w:themeFill="background1" w:themeFillShade="F2"/>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$ 1.146.375.000</w:t>
            </w:r>
          </w:p>
        </w:tc>
      </w:tr>
      <w:tr w:rsidR="006D3A28" w:rsidRPr="00804D89" w:rsidTr="006C41D8">
        <w:trPr>
          <w:jc w:val="center"/>
        </w:trPr>
        <w:tc>
          <w:tcPr>
            <w:tcW w:w="2410" w:type="dxa"/>
            <w:shd w:val="clear" w:color="auto" w:fill="F2F2F2" w:themeFill="background1" w:themeFillShade="F2"/>
            <w:vAlign w:val="center"/>
          </w:tcPr>
          <w:p w:rsidR="006D3A28" w:rsidRPr="00804D89" w:rsidRDefault="006D3A28" w:rsidP="006D3A28">
            <w:pPr>
              <w:spacing w:after="0"/>
              <w:rPr>
                <w:rFonts w:ascii="Arial" w:hAnsi="Arial" w:cs="Arial"/>
                <w:sz w:val="18"/>
                <w:szCs w:val="18"/>
              </w:rPr>
            </w:pPr>
            <w:r w:rsidRPr="00804D89">
              <w:rPr>
                <w:rFonts w:ascii="Arial" w:hAnsi="Arial" w:cs="Arial"/>
                <w:sz w:val="18"/>
                <w:szCs w:val="18"/>
              </w:rPr>
              <w:t>8. Colombia vs. Brasil</w:t>
            </w:r>
          </w:p>
        </w:tc>
        <w:tc>
          <w:tcPr>
            <w:tcW w:w="127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14.207</w:t>
            </w:r>
          </w:p>
        </w:tc>
        <w:tc>
          <w:tcPr>
            <w:tcW w:w="1701"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$ 2.857.880.000</w:t>
            </w:r>
          </w:p>
        </w:tc>
        <w:tc>
          <w:tcPr>
            <w:tcW w:w="2126" w:type="dxa"/>
            <w:shd w:val="clear" w:color="auto" w:fill="FFF2CC" w:themeFill="accent4" w:themeFillTint="33"/>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$ 7.144.700.000</w:t>
            </w:r>
          </w:p>
        </w:tc>
        <w:tc>
          <w:tcPr>
            <w:tcW w:w="2126" w:type="dxa"/>
            <w:shd w:val="clear" w:color="auto" w:fill="F2F2F2" w:themeFill="background1" w:themeFillShade="F2"/>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$ 4.286.820.000</w:t>
            </w:r>
          </w:p>
        </w:tc>
      </w:tr>
      <w:tr w:rsidR="006D3A28" w:rsidRPr="00804D89" w:rsidTr="006C41D8">
        <w:trPr>
          <w:jc w:val="center"/>
        </w:trPr>
        <w:tc>
          <w:tcPr>
            <w:tcW w:w="2410" w:type="dxa"/>
            <w:shd w:val="clear" w:color="auto" w:fill="F2F2F2" w:themeFill="background1" w:themeFillShade="F2"/>
            <w:vAlign w:val="center"/>
          </w:tcPr>
          <w:p w:rsidR="006D3A28" w:rsidRPr="00804D89" w:rsidRDefault="006D3A28" w:rsidP="006D3A28">
            <w:pPr>
              <w:spacing w:after="0"/>
              <w:rPr>
                <w:rFonts w:ascii="Arial" w:hAnsi="Arial" w:cs="Arial"/>
                <w:sz w:val="18"/>
                <w:szCs w:val="18"/>
              </w:rPr>
            </w:pPr>
            <w:r w:rsidRPr="00804D89">
              <w:rPr>
                <w:rFonts w:ascii="Arial" w:hAnsi="Arial" w:cs="Arial"/>
                <w:sz w:val="18"/>
                <w:szCs w:val="18"/>
              </w:rPr>
              <w:t>9. Colombia vs. Paraguay</w:t>
            </w:r>
          </w:p>
        </w:tc>
        <w:tc>
          <w:tcPr>
            <w:tcW w:w="127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No aplica</w:t>
            </w:r>
          </w:p>
        </w:tc>
        <w:tc>
          <w:tcPr>
            <w:tcW w:w="1701"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No aplica</w:t>
            </w:r>
          </w:p>
        </w:tc>
        <w:tc>
          <w:tcPr>
            <w:tcW w:w="212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No aplica</w:t>
            </w:r>
          </w:p>
        </w:tc>
        <w:tc>
          <w:tcPr>
            <w:tcW w:w="2126" w:type="dxa"/>
            <w:shd w:val="clear" w:color="auto" w:fill="F2F2F2" w:themeFill="background1" w:themeFillShade="F2"/>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sz w:val="18"/>
                <w:szCs w:val="18"/>
              </w:rPr>
              <w:t>No aplica</w:t>
            </w:r>
          </w:p>
        </w:tc>
      </w:tr>
      <w:tr w:rsidR="006D3A28" w:rsidRPr="00804D89" w:rsidTr="006C41D8">
        <w:trPr>
          <w:jc w:val="center"/>
        </w:trPr>
        <w:tc>
          <w:tcPr>
            <w:tcW w:w="2410" w:type="dxa"/>
            <w:shd w:val="clear" w:color="auto" w:fill="F2F2F2" w:themeFill="background1" w:themeFillShade="F2"/>
            <w:vAlign w:val="center"/>
          </w:tcPr>
          <w:p w:rsidR="006D3A28" w:rsidRPr="00804D89" w:rsidRDefault="006D3A28" w:rsidP="006D3A28">
            <w:pPr>
              <w:spacing w:after="0"/>
              <w:jc w:val="center"/>
              <w:rPr>
                <w:rFonts w:ascii="Arial" w:hAnsi="Arial" w:cs="Arial"/>
                <w:b/>
                <w:sz w:val="18"/>
                <w:szCs w:val="18"/>
              </w:rPr>
            </w:pPr>
            <w:r w:rsidRPr="00804D89">
              <w:rPr>
                <w:rFonts w:ascii="Arial" w:hAnsi="Arial" w:cs="Arial"/>
                <w:b/>
                <w:sz w:val="18"/>
                <w:szCs w:val="18"/>
              </w:rPr>
              <w:t>TOTAL</w:t>
            </w:r>
          </w:p>
        </w:tc>
        <w:tc>
          <w:tcPr>
            <w:tcW w:w="1276"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b/>
                <w:bCs/>
                <w:sz w:val="18"/>
                <w:szCs w:val="18"/>
              </w:rPr>
              <w:t>42.221</w:t>
            </w:r>
          </w:p>
        </w:tc>
        <w:tc>
          <w:tcPr>
            <w:tcW w:w="1701" w:type="dxa"/>
            <w:shd w:val="clear" w:color="auto" w:fill="FFF2CC" w:themeFill="accent4" w:themeFillTint="33"/>
            <w:vAlign w:val="center"/>
          </w:tcPr>
          <w:p w:rsidR="006D3A28" w:rsidRPr="00804D89" w:rsidRDefault="006D3A28" w:rsidP="006D3A28">
            <w:pPr>
              <w:spacing w:after="0"/>
              <w:jc w:val="center"/>
              <w:rPr>
                <w:rFonts w:ascii="Arial" w:hAnsi="Arial" w:cs="Arial"/>
                <w:sz w:val="18"/>
                <w:szCs w:val="18"/>
              </w:rPr>
            </w:pPr>
            <w:r w:rsidRPr="00804D89">
              <w:rPr>
                <w:rFonts w:ascii="Arial" w:hAnsi="Arial" w:cs="Arial"/>
                <w:b/>
                <w:bCs/>
                <w:sz w:val="18"/>
                <w:szCs w:val="18"/>
              </w:rPr>
              <w:t>$ 8.738.790.800</w:t>
            </w:r>
          </w:p>
        </w:tc>
        <w:tc>
          <w:tcPr>
            <w:tcW w:w="2126" w:type="dxa"/>
            <w:shd w:val="clear" w:color="auto" w:fill="FFF2CC" w:themeFill="accent4" w:themeFillTint="33"/>
            <w:vAlign w:val="center"/>
          </w:tcPr>
          <w:p w:rsidR="006D3A28" w:rsidRPr="00804D89" w:rsidRDefault="006D3A28" w:rsidP="006D3A28">
            <w:pPr>
              <w:spacing w:after="0"/>
              <w:jc w:val="center"/>
              <w:rPr>
                <w:rFonts w:ascii="Arial" w:hAnsi="Arial" w:cs="Arial"/>
                <w:b/>
                <w:sz w:val="18"/>
                <w:szCs w:val="18"/>
              </w:rPr>
            </w:pPr>
            <w:r w:rsidRPr="00804D89">
              <w:rPr>
                <w:rFonts w:ascii="Arial" w:hAnsi="Arial" w:cs="Arial"/>
                <w:b/>
                <w:sz w:val="18"/>
                <w:szCs w:val="18"/>
              </w:rPr>
              <w:t>$ 21.846.977.000</w:t>
            </w:r>
          </w:p>
        </w:tc>
        <w:tc>
          <w:tcPr>
            <w:tcW w:w="2126" w:type="dxa"/>
            <w:shd w:val="clear" w:color="auto" w:fill="F2F2F2" w:themeFill="background1" w:themeFillShade="F2"/>
            <w:vAlign w:val="center"/>
          </w:tcPr>
          <w:p w:rsidR="006D3A28" w:rsidRPr="00804D89" w:rsidRDefault="006D3A28" w:rsidP="006D3A28">
            <w:pPr>
              <w:spacing w:after="0"/>
              <w:jc w:val="center"/>
              <w:rPr>
                <w:rFonts w:ascii="Arial" w:hAnsi="Arial" w:cs="Arial"/>
                <w:b/>
                <w:sz w:val="18"/>
                <w:szCs w:val="18"/>
              </w:rPr>
            </w:pPr>
            <w:r w:rsidRPr="00804D89">
              <w:rPr>
                <w:rFonts w:ascii="Arial" w:hAnsi="Arial" w:cs="Arial"/>
                <w:b/>
                <w:sz w:val="18"/>
                <w:szCs w:val="18"/>
              </w:rPr>
              <w:t>$ 13.108.186.200</w:t>
            </w:r>
          </w:p>
        </w:tc>
      </w:tr>
    </w:tbl>
    <w:p w:rsidR="006D3A28" w:rsidRPr="009B6C40" w:rsidRDefault="006D3A28" w:rsidP="006D3A28">
      <w:pPr>
        <w:spacing w:after="0"/>
        <w:rPr>
          <w:sz w:val="24"/>
          <w:szCs w:val="24"/>
        </w:rPr>
      </w:pPr>
    </w:p>
    <w:p w:rsidR="006D3A28" w:rsidRPr="006D3A28" w:rsidRDefault="006D3A28" w:rsidP="006D3A28">
      <w:pPr>
        <w:pStyle w:val="Prrafodelista"/>
        <w:numPr>
          <w:ilvl w:val="0"/>
          <w:numId w:val="8"/>
        </w:numPr>
        <w:spacing w:after="0" w:line="240" w:lineRule="auto"/>
        <w:ind w:left="0" w:firstLine="360"/>
        <w:contextualSpacing/>
        <w:jc w:val="both"/>
        <w:rPr>
          <w:rFonts w:ascii="Arial" w:hAnsi="Arial" w:cs="Arial"/>
          <w:sz w:val="24"/>
          <w:szCs w:val="24"/>
        </w:rPr>
      </w:pPr>
      <w:r w:rsidRPr="009B6C40">
        <w:rPr>
          <w:rFonts w:ascii="Arial" w:hAnsi="Arial" w:cs="Arial"/>
          <w:b/>
          <w:sz w:val="24"/>
          <w:szCs w:val="24"/>
        </w:rPr>
        <w:lastRenderedPageBreak/>
        <w:t xml:space="preserve">Bogotá, D.C, lunes 30 de julio de 2018. </w:t>
      </w:r>
      <w:r w:rsidRPr="009B6C40">
        <w:rPr>
          <w:rFonts w:ascii="Arial" w:hAnsi="Arial" w:cs="Arial"/>
          <w:sz w:val="24"/>
          <w:szCs w:val="24"/>
        </w:rPr>
        <w:t xml:space="preserve">El Superintendente Delegado para la Protección de la Competencia de la Superintendencia de Industria y Comercio, Dr. Jorge Enrique Sánchez Medina, mediante Resolución 53.719 del 30 de julio de 2018, formuló </w:t>
      </w:r>
      <w:r w:rsidRPr="009B6C40">
        <w:rPr>
          <w:rFonts w:ascii="Arial" w:hAnsi="Arial" w:cs="Arial"/>
          <w:b/>
          <w:sz w:val="24"/>
          <w:szCs w:val="24"/>
        </w:rPr>
        <w:t>PLIEGO DE CARGOS</w:t>
      </w:r>
      <w:r w:rsidRPr="009B6C40">
        <w:rPr>
          <w:rFonts w:ascii="Arial" w:hAnsi="Arial" w:cs="Arial"/>
          <w:sz w:val="24"/>
          <w:szCs w:val="24"/>
        </w:rPr>
        <w:t xml:space="preserve"> contra las personas jurídicas y naturales que a continuación se indican, a quienes se les imputa violar las normas </w:t>
      </w:r>
      <w:r>
        <w:rPr>
          <w:rFonts w:ascii="Arial" w:hAnsi="Arial" w:cs="Arial"/>
          <w:sz w:val="24"/>
          <w:szCs w:val="24"/>
        </w:rPr>
        <w:t>sobre</w:t>
      </w:r>
      <w:r w:rsidRPr="009B6C40">
        <w:rPr>
          <w:rFonts w:ascii="Arial" w:hAnsi="Arial" w:cs="Arial"/>
          <w:sz w:val="24"/>
          <w:szCs w:val="24"/>
        </w:rPr>
        <w:t xml:space="preserve"> protección de la libre competencia económica</w:t>
      </w:r>
      <w:r>
        <w:rPr>
          <w:rFonts w:ascii="Arial" w:hAnsi="Arial" w:cs="Arial"/>
          <w:sz w:val="24"/>
          <w:szCs w:val="24"/>
        </w:rPr>
        <w:t>,</w:t>
      </w:r>
      <w:r w:rsidRPr="009B6C40">
        <w:rPr>
          <w:rFonts w:ascii="Arial" w:hAnsi="Arial" w:cs="Arial"/>
          <w:sz w:val="24"/>
          <w:szCs w:val="24"/>
        </w:rPr>
        <w:t xml:space="preserve"> </w:t>
      </w:r>
      <w:r w:rsidR="00B41AD7">
        <w:rPr>
          <w:rFonts w:ascii="Arial" w:hAnsi="Arial" w:cs="Arial"/>
          <w:sz w:val="24"/>
          <w:szCs w:val="24"/>
        </w:rPr>
        <w:t xml:space="preserve">por cuenta de las </w:t>
      </w:r>
      <w:r w:rsidRPr="009B6C40">
        <w:rPr>
          <w:rFonts w:ascii="Arial" w:hAnsi="Arial" w:cs="Arial"/>
          <w:sz w:val="24"/>
          <w:szCs w:val="24"/>
        </w:rPr>
        <w:t>conductas consistente</w:t>
      </w:r>
      <w:r w:rsidR="00B41AD7">
        <w:rPr>
          <w:rFonts w:ascii="Arial" w:hAnsi="Arial" w:cs="Arial"/>
          <w:sz w:val="24"/>
          <w:szCs w:val="24"/>
        </w:rPr>
        <w:t>s</w:t>
      </w:r>
      <w:r w:rsidRPr="009B6C40">
        <w:rPr>
          <w:rFonts w:ascii="Arial" w:hAnsi="Arial" w:cs="Arial"/>
          <w:sz w:val="24"/>
          <w:szCs w:val="24"/>
        </w:rPr>
        <w:t xml:space="preserve"> en la desviación masiva de boletas con fines de reventa en los partidos de fútbol disputados por la Selección Colombia en su condición de local en la ciudad de </w:t>
      </w:r>
      <w:r w:rsidRPr="006D3A28">
        <w:rPr>
          <w:rFonts w:ascii="Arial" w:hAnsi="Arial" w:cs="Arial"/>
          <w:sz w:val="24"/>
          <w:szCs w:val="24"/>
        </w:rPr>
        <w:t>Barranquilla en el marco de la Eliminatoria al Mundial Rusia 2018, a saber:</w:t>
      </w:r>
    </w:p>
    <w:p w:rsidR="006D3A28" w:rsidRDefault="006D3A28" w:rsidP="006D3A28">
      <w:pPr>
        <w:spacing w:after="0" w:line="240" w:lineRule="auto"/>
        <w:jc w:val="both"/>
        <w:rPr>
          <w:rFonts w:ascii="Arial" w:hAnsi="Arial" w:cs="Arial"/>
          <w:sz w:val="24"/>
          <w:szCs w:val="24"/>
        </w:rPr>
      </w:pPr>
    </w:p>
    <w:p w:rsidR="00B41AD7" w:rsidRDefault="00B41AD7" w:rsidP="00D00EF6">
      <w:pPr>
        <w:spacing w:after="0" w:line="240" w:lineRule="auto"/>
        <w:jc w:val="both"/>
        <w:rPr>
          <w:rFonts w:ascii="Arial" w:hAnsi="Arial" w:cs="Arial"/>
          <w:sz w:val="24"/>
          <w:szCs w:val="24"/>
        </w:rPr>
      </w:pPr>
    </w:p>
    <w:tbl>
      <w:tblPr>
        <w:tblStyle w:val="Tablaconcuadrcula"/>
        <w:tblW w:w="9747" w:type="dxa"/>
        <w:tblLook w:val="04A0" w:firstRow="1" w:lastRow="0" w:firstColumn="1" w:lastColumn="0" w:noHBand="0" w:noVBand="1"/>
      </w:tblPr>
      <w:tblGrid>
        <w:gridCol w:w="5070"/>
        <w:gridCol w:w="4677"/>
      </w:tblGrid>
      <w:tr w:rsidR="00B41AD7" w:rsidRPr="00D00EF6" w:rsidTr="00D00EF6">
        <w:tc>
          <w:tcPr>
            <w:tcW w:w="9747" w:type="dxa"/>
            <w:gridSpan w:val="2"/>
            <w:shd w:val="clear" w:color="auto" w:fill="FFE599" w:themeFill="accent4" w:themeFillTint="66"/>
            <w:vAlign w:val="center"/>
          </w:tcPr>
          <w:p w:rsidR="00B41AD7" w:rsidRPr="00D00EF6" w:rsidRDefault="00B41AD7" w:rsidP="00D00EF6">
            <w:pPr>
              <w:spacing w:after="0" w:line="240" w:lineRule="auto"/>
              <w:jc w:val="center"/>
              <w:rPr>
                <w:rFonts w:ascii="Arial" w:hAnsi="Arial" w:cs="Arial"/>
                <w:b/>
                <w:lang w:val="es-CO"/>
              </w:rPr>
            </w:pPr>
            <w:r w:rsidRPr="00D00EF6">
              <w:rPr>
                <w:rFonts w:ascii="Arial" w:hAnsi="Arial" w:cs="Arial"/>
                <w:b/>
                <w:lang w:val="es-CO"/>
              </w:rPr>
              <w:t>PERSONAS JURÍDICAS Y NATURALES</w:t>
            </w:r>
          </w:p>
          <w:p w:rsidR="00B41AD7" w:rsidRPr="00D00EF6" w:rsidRDefault="00B41AD7" w:rsidP="00D00EF6">
            <w:pPr>
              <w:spacing w:after="0" w:line="240" w:lineRule="auto"/>
              <w:jc w:val="center"/>
              <w:rPr>
                <w:rFonts w:ascii="Arial" w:hAnsi="Arial" w:cs="Arial"/>
                <w:b/>
                <w:lang w:val="es-CO"/>
              </w:rPr>
            </w:pPr>
            <w:r w:rsidRPr="00D00EF6">
              <w:rPr>
                <w:rFonts w:ascii="Arial" w:hAnsi="Arial" w:cs="Arial"/>
                <w:b/>
                <w:lang w:val="es-CO"/>
              </w:rPr>
              <w:t>CON PLIEGO DE CARGOS</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lang w:val="es-CO"/>
              </w:rPr>
              <w:t>FEDERACIÓN COLOMBIANA DE FÚTBOL</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lang w:val="es-CO"/>
              </w:rPr>
              <w:t xml:space="preserve">COMERCIALIZADORA DE FRANQUICIAS S.A. </w:t>
            </w:r>
            <w:r w:rsidRPr="00D00EF6">
              <w:rPr>
                <w:rFonts w:ascii="Arial" w:hAnsi="Arial" w:cs="Arial"/>
                <w:lang w:val="es-CO"/>
              </w:rPr>
              <w:t xml:space="preserve">(conocida como </w:t>
            </w:r>
            <w:r w:rsidRPr="00D00EF6">
              <w:rPr>
                <w:rFonts w:ascii="Arial" w:hAnsi="Arial" w:cs="Arial"/>
                <w:b/>
                <w:lang w:val="es-CO"/>
              </w:rPr>
              <w:t>TICKETSHOP</w:t>
            </w:r>
            <w:r w:rsidRPr="00D00EF6">
              <w:rPr>
                <w:rFonts w:ascii="Arial" w:hAnsi="Arial" w:cs="Arial"/>
                <w:lang w:val="es-CO"/>
              </w:rPr>
              <w:t>)</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n-US"/>
              </w:rPr>
            </w:pPr>
            <w:r w:rsidRPr="00D00EF6">
              <w:rPr>
                <w:rFonts w:ascii="Arial" w:hAnsi="Arial" w:cs="Arial"/>
                <w:b/>
                <w:lang w:val="en-US"/>
              </w:rPr>
              <w:t>TU TICKET YA.COM S.A.S.</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n-US"/>
              </w:rPr>
            </w:pP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lang w:val="es-CO"/>
              </w:rPr>
              <w:t>LUIS HERBERTO BEDOYA GIRALDO</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Ex Presidente de la</w:t>
            </w:r>
            <w:r w:rsidRPr="00D00EF6">
              <w:rPr>
                <w:rFonts w:ascii="Arial" w:hAnsi="Arial" w:cs="Arial"/>
                <w:b/>
                <w:lang w:val="es-CO"/>
              </w:rPr>
              <w:t xml:space="preserve"> FCF</w:t>
            </w:r>
          </w:p>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Ex miembro del Comité Ejecutivo de la</w:t>
            </w:r>
            <w:r w:rsidRPr="00D00EF6">
              <w:rPr>
                <w:rFonts w:ascii="Arial" w:hAnsi="Arial" w:cs="Arial"/>
                <w:b/>
                <w:lang w:val="es-CO"/>
              </w:rPr>
              <w:t xml:space="preserve"> FCF</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lang w:val="es-CO"/>
              </w:rPr>
              <w:t>RAMÓN DE JESÚS JESURÚN FRANCO</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Presidente de la</w:t>
            </w:r>
            <w:r w:rsidRPr="00D00EF6">
              <w:rPr>
                <w:rFonts w:ascii="Arial" w:hAnsi="Arial" w:cs="Arial"/>
                <w:b/>
                <w:lang w:val="es-CO"/>
              </w:rPr>
              <w:t xml:space="preserve"> FCF</w:t>
            </w:r>
          </w:p>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Miembro del Comité Ejecutivo de la</w:t>
            </w:r>
            <w:r w:rsidRPr="00D00EF6">
              <w:rPr>
                <w:rFonts w:ascii="Arial" w:hAnsi="Arial" w:cs="Arial"/>
                <w:b/>
                <w:lang w:val="es-CO"/>
              </w:rPr>
              <w:t xml:space="preserve"> FCF</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lang w:val="es-CO"/>
              </w:rPr>
              <w:t>ÁLVARO GONZÁLEZ ALZATE</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Miembro del Comité Ejecutivo de la</w:t>
            </w:r>
            <w:r w:rsidRPr="00D00EF6">
              <w:rPr>
                <w:rFonts w:ascii="Arial" w:hAnsi="Arial" w:cs="Arial"/>
                <w:b/>
                <w:lang w:val="es-CO"/>
              </w:rPr>
              <w:t xml:space="preserve"> FCF</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lang w:val="es-CO"/>
              </w:rPr>
              <w:t>JORGE FERNANDO PERDOMO POLANÍA</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Miembro del Comité Ejecutivo de la</w:t>
            </w:r>
            <w:r w:rsidRPr="00D00EF6">
              <w:rPr>
                <w:rFonts w:ascii="Arial" w:hAnsi="Arial" w:cs="Arial"/>
                <w:b/>
                <w:lang w:val="es-CO"/>
              </w:rPr>
              <w:t xml:space="preserve"> FCF</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lang w:val="es-CO"/>
              </w:rPr>
              <w:t xml:space="preserve">ALEJANDRO HERNÁNDEZ </w:t>
            </w:r>
            <w:proofErr w:type="spellStart"/>
            <w:r w:rsidRPr="00D00EF6">
              <w:rPr>
                <w:rFonts w:ascii="Arial" w:hAnsi="Arial" w:cs="Arial"/>
                <w:b/>
                <w:lang w:val="es-CO"/>
              </w:rPr>
              <w:t>HERNÁNDEZ</w:t>
            </w:r>
            <w:proofErr w:type="spellEnd"/>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Miembro del Comité Ejecutivo de la</w:t>
            </w:r>
            <w:r w:rsidRPr="00D00EF6">
              <w:rPr>
                <w:rFonts w:ascii="Arial" w:hAnsi="Arial" w:cs="Arial"/>
                <w:b/>
                <w:lang w:val="es-CO"/>
              </w:rPr>
              <w:t xml:space="preserve"> FCF</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lang w:val="es-CO"/>
              </w:rPr>
              <w:t>CLAUDIO JAVIER COGOLLO MERLANO</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Miembro del Comité Ejecutivo de la</w:t>
            </w:r>
            <w:r w:rsidRPr="00D00EF6">
              <w:rPr>
                <w:rFonts w:ascii="Arial" w:hAnsi="Arial" w:cs="Arial"/>
                <w:b/>
                <w:lang w:val="es-CO"/>
              </w:rPr>
              <w:t xml:space="preserve"> FCF</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lang w:val="es-CO"/>
              </w:rPr>
              <w:t>ELKIN ENRIQUE ARCE MENA</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Miembro del Comité Ejecutivo de la</w:t>
            </w:r>
            <w:r w:rsidRPr="00D00EF6">
              <w:rPr>
                <w:rFonts w:ascii="Arial" w:hAnsi="Arial" w:cs="Arial"/>
                <w:b/>
                <w:lang w:val="es-CO"/>
              </w:rPr>
              <w:t xml:space="preserve"> FCF</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lang w:val="es-CO"/>
              </w:rPr>
              <w:t>ANDRÉS TAMAYO IANINNI</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Director Jurídico de la</w:t>
            </w:r>
            <w:r w:rsidRPr="00D00EF6">
              <w:rPr>
                <w:rFonts w:ascii="Arial" w:hAnsi="Arial" w:cs="Arial"/>
                <w:b/>
                <w:lang w:val="es-CO"/>
              </w:rPr>
              <w:t xml:space="preserve"> FCF</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lang w:val="es-CO"/>
              </w:rPr>
              <w:t>RODRIGO COBO MORALES</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Ex Director General de la</w:t>
            </w:r>
            <w:r w:rsidRPr="00D00EF6">
              <w:rPr>
                <w:rFonts w:ascii="Arial" w:hAnsi="Arial" w:cs="Arial"/>
                <w:b/>
                <w:lang w:val="es-CO"/>
              </w:rPr>
              <w:t xml:space="preserve"> FCF</w:t>
            </w:r>
          </w:p>
        </w:tc>
      </w:tr>
      <w:tr w:rsidR="00B41AD7" w:rsidRPr="00D00EF6" w:rsidTr="00D00EF6">
        <w:trPr>
          <w:trHeight w:val="405"/>
        </w:trPr>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lang w:val="es-CO"/>
              </w:rPr>
              <w:t xml:space="preserve">CÉSAR RONALDO CARREÑO </w:t>
            </w:r>
            <w:r w:rsidR="00D00EF6" w:rsidRPr="00D00EF6">
              <w:rPr>
                <w:rFonts w:ascii="Arial" w:hAnsi="Arial" w:cs="Arial"/>
                <w:b/>
                <w:lang w:val="es-CO"/>
              </w:rPr>
              <w:t>C</w:t>
            </w:r>
            <w:r w:rsidRPr="00D00EF6">
              <w:rPr>
                <w:rFonts w:ascii="Arial" w:hAnsi="Arial" w:cs="Arial"/>
                <w:b/>
                <w:lang w:val="es-CO"/>
              </w:rPr>
              <w:t>ASTAÑEDA</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 xml:space="preserve">Representante legal de </w:t>
            </w:r>
            <w:r w:rsidRPr="00D00EF6">
              <w:rPr>
                <w:rFonts w:ascii="Arial" w:hAnsi="Arial" w:cs="Arial"/>
                <w:b/>
                <w:lang w:val="es-CO"/>
              </w:rPr>
              <w:t>TICKETSHOP</w:t>
            </w:r>
          </w:p>
        </w:tc>
      </w:tr>
      <w:tr w:rsidR="00B41AD7" w:rsidRPr="00D00EF6" w:rsidTr="00D00EF6">
        <w:trPr>
          <w:trHeight w:val="405"/>
        </w:trPr>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b/>
                <w:lang w:val="es-CO"/>
              </w:rPr>
            </w:pPr>
            <w:r w:rsidRPr="00D00EF6">
              <w:rPr>
                <w:rFonts w:ascii="Arial" w:hAnsi="Arial" w:cs="Arial"/>
                <w:b/>
                <w:lang w:val="es-CO"/>
              </w:rPr>
              <w:t>IVÁN DARÍO ARCE GUTIÉRREZ</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 xml:space="preserve">Gerente Administrativo de </w:t>
            </w:r>
            <w:r w:rsidRPr="00D00EF6">
              <w:rPr>
                <w:rFonts w:ascii="Arial" w:hAnsi="Arial" w:cs="Arial"/>
                <w:b/>
                <w:lang w:val="es-CO"/>
              </w:rPr>
              <w:t>TICKETSHOP</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lang w:val="es-CO"/>
              </w:rPr>
              <w:t>ELÍAS JOSÉ YAMHURE DACCARETT</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 xml:space="preserve">“socio grupo </w:t>
            </w:r>
            <w:r w:rsidRPr="00D00EF6">
              <w:rPr>
                <w:rFonts w:ascii="Arial" w:hAnsi="Arial" w:cs="Arial"/>
                <w:b/>
                <w:lang w:val="es-CO"/>
              </w:rPr>
              <w:t>TICKET YA</w:t>
            </w:r>
            <w:r w:rsidRPr="00D00EF6">
              <w:rPr>
                <w:rFonts w:ascii="Arial" w:hAnsi="Arial" w:cs="Arial"/>
                <w:lang w:val="es-CO"/>
              </w:rPr>
              <w:t>”</w:t>
            </w:r>
          </w:p>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 xml:space="preserve">Representante legal de </w:t>
            </w:r>
            <w:r w:rsidRPr="00D00EF6">
              <w:rPr>
                <w:rFonts w:ascii="Arial" w:hAnsi="Arial" w:cs="Arial"/>
                <w:b/>
                <w:lang w:val="es-CO"/>
              </w:rPr>
              <w:t>TICKET YA</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b/>
                <w:bCs/>
                <w:lang w:val="es-ES_tradnl"/>
              </w:rPr>
              <w:t>LETICIA MERCEDES GUIJARRO DAZA</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 xml:space="preserve">Asistente de Gerencia de </w:t>
            </w:r>
            <w:r w:rsidRPr="00D00EF6">
              <w:rPr>
                <w:rFonts w:ascii="Arial" w:hAnsi="Arial" w:cs="Arial"/>
                <w:b/>
                <w:lang w:val="es-CO"/>
              </w:rPr>
              <w:t>TICKET YA</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b/>
                <w:bCs/>
                <w:lang w:val="es-ES_tradnl"/>
              </w:rPr>
            </w:pPr>
            <w:r w:rsidRPr="00D00EF6">
              <w:rPr>
                <w:rFonts w:ascii="Arial" w:hAnsi="Arial" w:cs="Arial"/>
                <w:b/>
                <w:lang w:val="es-CO"/>
              </w:rPr>
              <w:t>RODRIGO RENDÓN CANO</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 xml:space="preserve">“socio grupo </w:t>
            </w:r>
            <w:r w:rsidRPr="00D00EF6">
              <w:rPr>
                <w:rFonts w:ascii="Arial" w:hAnsi="Arial" w:cs="Arial"/>
                <w:b/>
                <w:lang w:val="es-CO"/>
              </w:rPr>
              <w:t>TICKET YA</w:t>
            </w:r>
            <w:r w:rsidRPr="00D00EF6">
              <w:rPr>
                <w:rFonts w:ascii="Arial" w:hAnsi="Arial" w:cs="Arial"/>
                <w:lang w:val="es-CO"/>
              </w:rPr>
              <w:t>”</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b/>
                <w:bCs/>
                <w:lang w:val="es-ES_tradnl"/>
              </w:rPr>
            </w:pPr>
            <w:r w:rsidRPr="00D00EF6">
              <w:rPr>
                <w:rFonts w:ascii="Arial" w:hAnsi="Arial" w:cs="Arial"/>
                <w:b/>
                <w:lang w:val="es-CO"/>
              </w:rPr>
              <w:t>RODRIGO ALEJANDRO RENDÓN RUIZ</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 xml:space="preserve">“socio grupo </w:t>
            </w:r>
            <w:r w:rsidRPr="00D00EF6">
              <w:rPr>
                <w:rFonts w:ascii="Arial" w:hAnsi="Arial" w:cs="Arial"/>
                <w:b/>
                <w:lang w:val="es-CO"/>
              </w:rPr>
              <w:t>TICKET YA</w:t>
            </w:r>
            <w:r w:rsidRPr="00D00EF6">
              <w:rPr>
                <w:rFonts w:ascii="Arial" w:hAnsi="Arial" w:cs="Arial"/>
                <w:lang w:val="es-CO"/>
              </w:rPr>
              <w:t>”</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b/>
                <w:bCs/>
                <w:lang w:val="es-ES_tradnl"/>
              </w:rPr>
            </w:pPr>
            <w:r w:rsidRPr="00D00EF6">
              <w:rPr>
                <w:rFonts w:ascii="Arial" w:hAnsi="Arial" w:cs="Arial"/>
                <w:b/>
                <w:lang w:val="es-CO"/>
              </w:rPr>
              <w:t>MEDARDO</w:t>
            </w:r>
            <w:r w:rsidRPr="00D00EF6">
              <w:rPr>
                <w:rFonts w:ascii="Arial" w:hAnsi="Arial" w:cs="Arial"/>
                <w:lang w:val="es-CO"/>
              </w:rPr>
              <w:t xml:space="preserve"> </w:t>
            </w:r>
            <w:r w:rsidRPr="00D00EF6">
              <w:rPr>
                <w:rFonts w:ascii="Arial" w:hAnsi="Arial" w:cs="Arial"/>
                <w:b/>
                <w:lang w:val="es-CO"/>
              </w:rPr>
              <w:t>ALBERTO ROMERO RIVEROS</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 xml:space="preserve">“socio grupo </w:t>
            </w:r>
            <w:r w:rsidRPr="00D00EF6">
              <w:rPr>
                <w:rFonts w:ascii="Arial" w:hAnsi="Arial" w:cs="Arial"/>
                <w:b/>
                <w:lang w:val="es-CO"/>
              </w:rPr>
              <w:t>TICKET YA</w:t>
            </w:r>
            <w:r w:rsidRPr="00D00EF6">
              <w:rPr>
                <w:rFonts w:ascii="Arial" w:hAnsi="Arial" w:cs="Arial"/>
                <w:lang w:val="es-CO"/>
              </w:rPr>
              <w:t>”</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b/>
                <w:bCs/>
                <w:lang w:val="es-ES_tradnl"/>
              </w:rPr>
            </w:pPr>
            <w:r w:rsidRPr="00D00EF6">
              <w:rPr>
                <w:rFonts w:ascii="Arial" w:hAnsi="Arial" w:cs="Arial"/>
                <w:b/>
                <w:lang w:val="es-CO"/>
              </w:rPr>
              <w:t>DAVID ROMERO VEGA</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 xml:space="preserve">“socio grupo </w:t>
            </w:r>
            <w:r w:rsidRPr="00D00EF6">
              <w:rPr>
                <w:rFonts w:ascii="Arial" w:hAnsi="Arial" w:cs="Arial"/>
                <w:b/>
                <w:lang w:val="es-CO"/>
              </w:rPr>
              <w:t>TICKET YA</w:t>
            </w:r>
            <w:r w:rsidRPr="00D00EF6">
              <w:rPr>
                <w:rFonts w:ascii="Arial" w:hAnsi="Arial" w:cs="Arial"/>
                <w:lang w:val="es-CO"/>
              </w:rPr>
              <w:t>”</w:t>
            </w:r>
          </w:p>
        </w:tc>
      </w:tr>
      <w:tr w:rsidR="00B41AD7" w:rsidRPr="00D00EF6" w:rsidTr="00D00EF6">
        <w:tc>
          <w:tcPr>
            <w:tcW w:w="5070"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b/>
                <w:bCs/>
                <w:lang w:val="es-ES_tradnl"/>
              </w:rPr>
            </w:pPr>
            <w:r w:rsidRPr="00D00EF6">
              <w:rPr>
                <w:rFonts w:ascii="Arial" w:hAnsi="Arial" w:cs="Arial"/>
                <w:b/>
                <w:lang w:val="es-CO"/>
              </w:rPr>
              <w:t>ROBERTO SAER DACCARETT</w:t>
            </w:r>
          </w:p>
        </w:tc>
        <w:tc>
          <w:tcPr>
            <w:tcW w:w="4677" w:type="dxa"/>
            <w:shd w:val="clear" w:color="auto" w:fill="BDD6EE" w:themeFill="accent1" w:themeFillTint="66"/>
            <w:vAlign w:val="center"/>
          </w:tcPr>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 xml:space="preserve">“socio grupo </w:t>
            </w:r>
            <w:r w:rsidRPr="00D00EF6">
              <w:rPr>
                <w:rFonts w:ascii="Arial" w:hAnsi="Arial" w:cs="Arial"/>
                <w:b/>
                <w:lang w:val="es-CO"/>
              </w:rPr>
              <w:t>TICKET YA</w:t>
            </w:r>
            <w:r w:rsidRPr="00D00EF6">
              <w:rPr>
                <w:rFonts w:ascii="Arial" w:hAnsi="Arial" w:cs="Arial"/>
                <w:lang w:val="es-CO"/>
              </w:rPr>
              <w:t>”</w:t>
            </w:r>
          </w:p>
          <w:p w:rsidR="00B41AD7" w:rsidRPr="00D00EF6" w:rsidRDefault="00B41AD7" w:rsidP="00D00EF6">
            <w:pPr>
              <w:spacing w:after="0" w:line="240" w:lineRule="auto"/>
              <w:jc w:val="center"/>
              <w:rPr>
                <w:rFonts w:ascii="Arial" w:hAnsi="Arial" w:cs="Arial"/>
                <w:lang w:val="es-CO"/>
              </w:rPr>
            </w:pPr>
            <w:r w:rsidRPr="00D00EF6">
              <w:rPr>
                <w:rFonts w:ascii="Arial" w:hAnsi="Arial" w:cs="Arial"/>
                <w:lang w:val="es-CO"/>
              </w:rPr>
              <w:t>Autodenominado “Gerente del Proyecto”)</w:t>
            </w:r>
          </w:p>
        </w:tc>
      </w:tr>
    </w:tbl>
    <w:p w:rsidR="006D3A28" w:rsidRPr="006D3A28" w:rsidRDefault="006D3A28" w:rsidP="006D3A28">
      <w:pPr>
        <w:spacing w:after="0" w:line="240" w:lineRule="auto"/>
        <w:jc w:val="both"/>
        <w:rPr>
          <w:rFonts w:ascii="Arial" w:hAnsi="Arial" w:cs="Arial"/>
          <w:sz w:val="24"/>
          <w:szCs w:val="24"/>
        </w:rPr>
      </w:pPr>
    </w:p>
    <w:p w:rsidR="00D00EF6" w:rsidRDefault="00D00EF6" w:rsidP="006D3A28">
      <w:pPr>
        <w:pStyle w:val="NormalWeb"/>
        <w:shd w:val="clear" w:color="auto" w:fill="FFFFFF"/>
        <w:spacing w:after="0" w:line="240" w:lineRule="auto"/>
        <w:jc w:val="both"/>
        <w:rPr>
          <w:rStyle w:val="Textoennegrita"/>
          <w:rFonts w:ascii="Arial" w:hAnsi="Arial" w:cs="Arial"/>
          <w:u w:val="single"/>
        </w:rPr>
      </w:pPr>
    </w:p>
    <w:p w:rsidR="00D00EF6" w:rsidRDefault="00D00EF6" w:rsidP="006D3A28">
      <w:pPr>
        <w:pStyle w:val="NormalWeb"/>
        <w:shd w:val="clear" w:color="auto" w:fill="FFFFFF"/>
        <w:spacing w:after="0" w:line="240" w:lineRule="auto"/>
        <w:jc w:val="both"/>
        <w:rPr>
          <w:rStyle w:val="Textoennegrita"/>
          <w:rFonts w:ascii="Arial" w:hAnsi="Arial" w:cs="Arial"/>
          <w:u w:val="single"/>
        </w:rPr>
      </w:pPr>
    </w:p>
    <w:p w:rsidR="00D35859" w:rsidRPr="006D3A28" w:rsidRDefault="00D35859" w:rsidP="006D3A28">
      <w:pPr>
        <w:pStyle w:val="NormalWeb"/>
        <w:shd w:val="clear" w:color="auto" w:fill="FFFFFF"/>
        <w:spacing w:after="0" w:line="240" w:lineRule="auto"/>
        <w:jc w:val="both"/>
        <w:rPr>
          <w:rFonts w:ascii="Arial" w:hAnsi="Arial" w:cs="Arial"/>
        </w:rPr>
      </w:pPr>
      <w:r w:rsidRPr="006D3A28">
        <w:rPr>
          <w:rStyle w:val="Textoennegrita"/>
          <w:rFonts w:ascii="Arial" w:hAnsi="Arial" w:cs="Arial"/>
          <w:u w:val="single"/>
        </w:rPr>
        <w:t>Posibles sanciones</w:t>
      </w:r>
    </w:p>
    <w:p w:rsidR="006D3A28" w:rsidRDefault="006D3A28" w:rsidP="006D3A28">
      <w:pPr>
        <w:pStyle w:val="NormalWeb"/>
        <w:shd w:val="clear" w:color="auto" w:fill="FFFFFF"/>
        <w:spacing w:after="0" w:line="240" w:lineRule="auto"/>
        <w:jc w:val="both"/>
        <w:rPr>
          <w:rFonts w:ascii="Arial" w:hAnsi="Arial" w:cs="Arial"/>
        </w:rPr>
      </w:pPr>
    </w:p>
    <w:p w:rsidR="00D35859" w:rsidRPr="006D3A28" w:rsidRDefault="00D35859" w:rsidP="006D3A28">
      <w:pPr>
        <w:pStyle w:val="NormalWeb"/>
        <w:shd w:val="clear" w:color="auto" w:fill="FFFFFF"/>
        <w:spacing w:after="0" w:line="240" w:lineRule="auto"/>
        <w:jc w:val="both"/>
        <w:rPr>
          <w:rFonts w:ascii="Arial" w:hAnsi="Arial" w:cs="Arial"/>
        </w:rPr>
      </w:pPr>
      <w:r w:rsidRPr="006D3A28">
        <w:rPr>
          <w:rFonts w:ascii="Arial" w:hAnsi="Arial" w:cs="Arial"/>
        </w:rPr>
        <w:t xml:space="preserve">En el evento en </w:t>
      </w:r>
      <w:r w:rsidR="00311765" w:rsidRPr="006D3A28">
        <w:rPr>
          <w:rFonts w:ascii="Arial" w:hAnsi="Arial" w:cs="Arial"/>
        </w:rPr>
        <w:t xml:space="preserve">el </w:t>
      </w:r>
      <w:r w:rsidRPr="006D3A28">
        <w:rPr>
          <w:rFonts w:ascii="Arial" w:hAnsi="Arial" w:cs="Arial"/>
        </w:rPr>
        <w:t>que</w:t>
      </w:r>
      <w:r w:rsidR="00311765" w:rsidRPr="006D3A28">
        <w:rPr>
          <w:rFonts w:ascii="Arial" w:hAnsi="Arial" w:cs="Arial"/>
        </w:rPr>
        <w:t xml:space="preserve"> al finalizar la actuación administrativa se declare que</w:t>
      </w:r>
      <w:r w:rsidRPr="006D3A28">
        <w:rPr>
          <w:rFonts w:ascii="Arial" w:hAnsi="Arial" w:cs="Arial"/>
        </w:rPr>
        <w:t xml:space="preserve"> existió violación de las normas de la libre competencia económica, la Superintendencia puede imponer </w:t>
      </w:r>
      <w:r w:rsidR="00311765" w:rsidRPr="006D3A28">
        <w:rPr>
          <w:rFonts w:ascii="Arial" w:hAnsi="Arial" w:cs="Arial"/>
        </w:rPr>
        <w:t xml:space="preserve">las siguientes </w:t>
      </w:r>
      <w:r w:rsidRPr="006D3A28">
        <w:rPr>
          <w:rFonts w:ascii="Arial" w:hAnsi="Arial" w:cs="Arial"/>
        </w:rPr>
        <w:t>multas:</w:t>
      </w:r>
    </w:p>
    <w:p w:rsidR="006D3A28" w:rsidRDefault="006D3A28" w:rsidP="006D3A28">
      <w:pPr>
        <w:pStyle w:val="NormalWeb"/>
        <w:shd w:val="clear" w:color="auto" w:fill="FFFFFF"/>
        <w:spacing w:after="0" w:line="240" w:lineRule="auto"/>
        <w:jc w:val="both"/>
        <w:rPr>
          <w:rFonts w:ascii="Arial" w:hAnsi="Arial" w:cs="Arial"/>
        </w:rPr>
      </w:pPr>
    </w:p>
    <w:p w:rsidR="00311765" w:rsidRPr="006D3A28" w:rsidRDefault="00311765" w:rsidP="006D3A28">
      <w:pPr>
        <w:pStyle w:val="NormalWeb"/>
        <w:shd w:val="clear" w:color="auto" w:fill="FFFFFF"/>
        <w:spacing w:after="0" w:line="240" w:lineRule="auto"/>
        <w:jc w:val="both"/>
        <w:rPr>
          <w:rFonts w:ascii="Arial" w:hAnsi="Arial" w:cs="Arial"/>
          <w:lang w:val="es-CO"/>
        </w:rPr>
      </w:pPr>
      <w:r w:rsidRPr="006D3A28">
        <w:rPr>
          <w:rFonts w:ascii="Arial" w:hAnsi="Arial" w:cs="Arial"/>
        </w:rPr>
        <w:t>(</w:t>
      </w:r>
      <w:r w:rsidRPr="006D3A28">
        <w:rPr>
          <w:rFonts w:ascii="Arial" w:hAnsi="Arial" w:cs="Arial"/>
          <w:b/>
        </w:rPr>
        <w:t>i)</w:t>
      </w:r>
      <w:r w:rsidR="006D3A28">
        <w:rPr>
          <w:rFonts w:ascii="Arial" w:hAnsi="Arial" w:cs="Arial"/>
        </w:rPr>
        <w:t xml:space="preserve"> A Los agentes del mercado (personas naturales o jurídicas) multas de </w:t>
      </w:r>
      <w:r w:rsidR="00D35859" w:rsidRPr="006D3A28">
        <w:rPr>
          <w:rFonts w:ascii="Arial" w:hAnsi="Arial" w:cs="Arial"/>
        </w:rPr>
        <w:t xml:space="preserve">hasta cien mil salarios mínimos legales mensuales vigentes (100.000 SMLMV) equivalentes a </w:t>
      </w:r>
      <w:r w:rsidRPr="006D3A28">
        <w:rPr>
          <w:rFonts w:ascii="Arial" w:hAnsi="Arial" w:cs="Arial"/>
          <w:b/>
          <w:bCs/>
          <w:lang w:val="es-CO"/>
        </w:rPr>
        <w:t>SETENTA Y OCHO MIL CIENTO VEINTICUATRO MILLONES DOSCIENTOS MIL PESOS ($78.124´200.000.oo)</w:t>
      </w:r>
      <w:r w:rsidRPr="006D3A28">
        <w:rPr>
          <w:rFonts w:ascii="Arial" w:hAnsi="Arial" w:cs="Arial"/>
          <w:lang w:val="es-CO"/>
        </w:rPr>
        <w:t> por cada infracción; </w:t>
      </w:r>
    </w:p>
    <w:p w:rsidR="006D3A28" w:rsidRPr="006D3A28" w:rsidRDefault="006D3A28" w:rsidP="006D3A28">
      <w:pPr>
        <w:pStyle w:val="NormalWeb"/>
        <w:shd w:val="clear" w:color="auto" w:fill="FFFFFF"/>
        <w:spacing w:after="0" w:line="240" w:lineRule="auto"/>
        <w:jc w:val="both"/>
        <w:rPr>
          <w:rFonts w:ascii="Arial" w:hAnsi="Arial" w:cs="Arial"/>
          <w:lang w:val="es-CO"/>
        </w:rPr>
      </w:pPr>
    </w:p>
    <w:p w:rsidR="00311765" w:rsidRPr="006D3A28" w:rsidRDefault="00311765" w:rsidP="006D3A28">
      <w:pPr>
        <w:pStyle w:val="NormalWeb"/>
        <w:spacing w:after="0" w:line="240" w:lineRule="auto"/>
        <w:jc w:val="both"/>
        <w:rPr>
          <w:rFonts w:ascii="Arial" w:hAnsi="Arial" w:cs="Arial"/>
          <w:lang w:val="es-CO"/>
        </w:rPr>
      </w:pPr>
      <w:r w:rsidRPr="006D3A28">
        <w:rPr>
          <w:rFonts w:ascii="Arial" w:hAnsi="Arial" w:cs="Arial"/>
          <w:b/>
          <w:bCs/>
          <w:lang w:val="es-CO"/>
        </w:rPr>
        <w:t>(ii)</w:t>
      </w:r>
      <w:r w:rsidR="006D3A28">
        <w:rPr>
          <w:rFonts w:ascii="Arial" w:hAnsi="Arial" w:cs="Arial"/>
          <w:lang w:val="es-CO"/>
        </w:rPr>
        <w:t> A</w:t>
      </w:r>
      <w:r w:rsidRPr="006D3A28">
        <w:rPr>
          <w:rFonts w:ascii="Arial" w:hAnsi="Arial" w:cs="Arial"/>
          <w:lang w:val="es-CO"/>
        </w:rPr>
        <w:t xml:space="preserve"> las personas naturales vinculadas con los agentes del mercado que infrinjan esas disposiciones, hasta dos mil salarios mínimos legales mensuales </w:t>
      </w:r>
      <w:r w:rsidRPr="006D3A28">
        <w:rPr>
          <w:rFonts w:ascii="Arial" w:hAnsi="Arial" w:cs="Arial"/>
          <w:b/>
          <w:lang w:val="es-CO"/>
        </w:rPr>
        <w:t>(2.000 SMLMV) equivalentes a</w:t>
      </w:r>
      <w:r w:rsidRPr="006D3A28">
        <w:rPr>
          <w:rFonts w:ascii="Arial" w:hAnsi="Arial" w:cs="Arial"/>
          <w:b/>
          <w:bCs/>
          <w:lang w:val="es-CO"/>
        </w:rPr>
        <w:t> MIL QUINIENTOS SESENTA Y DOS MILLONES CUATROCIENTOS OCHENTA Y CUATRO MIL PESOS ($1.562´484.000.oo.)</w:t>
      </w:r>
      <w:r w:rsidRPr="006D3A28">
        <w:rPr>
          <w:rFonts w:ascii="Arial" w:hAnsi="Arial" w:cs="Arial"/>
          <w:b/>
          <w:lang w:val="es-CO"/>
        </w:rPr>
        <w:t>.</w:t>
      </w:r>
      <w:r w:rsidRPr="006D3A28">
        <w:rPr>
          <w:rFonts w:ascii="Arial" w:hAnsi="Arial" w:cs="Arial"/>
          <w:lang w:val="es-CO"/>
        </w:rPr>
        <w:t> </w:t>
      </w:r>
    </w:p>
    <w:p w:rsidR="006D3A28" w:rsidRPr="006D3A28" w:rsidRDefault="006D3A28" w:rsidP="006D3A28">
      <w:pPr>
        <w:shd w:val="clear" w:color="auto" w:fill="FFFFFF"/>
        <w:spacing w:after="0" w:line="240" w:lineRule="auto"/>
        <w:contextualSpacing/>
        <w:jc w:val="both"/>
        <w:rPr>
          <w:rFonts w:ascii="Arial" w:hAnsi="Arial" w:cs="Arial"/>
          <w:b/>
          <w:bCs/>
          <w:sz w:val="24"/>
          <w:szCs w:val="24"/>
          <w:u w:val="single"/>
          <w:lang w:eastAsia="es-CO"/>
        </w:rPr>
      </w:pPr>
    </w:p>
    <w:p w:rsidR="00D35859" w:rsidRPr="006D3A28" w:rsidRDefault="00D35859" w:rsidP="006D3A28">
      <w:pPr>
        <w:shd w:val="clear" w:color="auto" w:fill="FFFFFF"/>
        <w:spacing w:after="0" w:line="240" w:lineRule="auto"/>
        <w:contextualSpacing/>
        <w:jc w:val="both"/>
        <w:rPr>
          <w:rFonts w:ascii="Arial" w:hAnsi="Arial" w:cs="Arial"/>
          <w:sz w:val="24"/>
          <w:szCs w:val="24"/>
          <w:lang w:eastAsia="es-CO"/>
        </w:rPr>
      </w:pPr>
      <w:r w:rsidRPr="006D3A28">
        <w:rPr>
          <w:rFonts w:ascii="Arial" w:hAnsi="Arial" w:cs="Arial"/>
          <w:b/>
          <w:bCs/>
          <w:sz w:val="24"/>
          <w:szCs w:val="24"/>
          <w:u w:val="single"/>
          <w:lang w:eastAsia="es-CO"/>
        </w:rPr>
        <w:t>No procedencia de recursos</w:t>
      </w:r>
    </w:p>
    <w:p w:rsidR="00D35859" w:rsidRPr="006D3A28" w:rsidRDefault="00D35859" w:rsidP="006D3A28">
      <w:pPr>
        <w:shd w:val="clear" w:color="auto" w:fill="FFFFFF"/>
        <w:spacing w:after="0" w:line="240" w:lineRule="auto"/>
        <w:contextualSpacing/>
        <w:jc w:val="both"/>
        <w:rPr>
          <w:rFonts w:ascii="Arial" w:hAnsi="Arial" w:cs="Arial"/>
          <w:sz w:val="24"/>
          <w:szCs w:val="24"/>
          <w:lang w:eastAsia="es-CO"/>
        </w:rPr>
      </w:pPr>
    </w:p>
    <w:p w:rsidR="00D35859" w:rsidRPr="006D3A28" w:rsidRDefault="00D35859" w:rsidP="006D3A28">
      <w:pPr>
        <w:shd w:val="clear" w:color="auto" w:fill="FFFFFF"/>
        <w:spacing w:after="0" w:line="240" w:lineRule="auto"/>
        <w:contextualSpacing/>
        <w:jc w:val="both"/>
        <w:rPr>
          <w:rFonts w:ascii="Arial" w:hAnsi="Arial" w:cs="Arial"/>
          <w:sz w:val="24"/>
          <w:szCs w:val="24"/>
          <w:lang w:eastAsia="es-CO"/>
        </w:rPr>
      </w:pPr>
      <w:r w:rsidRPr="006D3A28">
        <w:rPr>
          <w:rFonts w:ascii="Arial" w:hAnsi="Arial" w:cs="Arial"/>
          <w:sz w:val="24"/>
          <w:szCs w:val="24"/>
          <w:lang w:eastAsia="es-CO"/>
        </w:rPr>
        <w:t xml:space="preserve">Contra </w:t>
      </w:r>
      <w:r w:rsidR="006D3A28">
        <w:rPr>
          <w:rFonts w:ascii="Arial" w:hAnsi="Arial" w:cs="Arial"/>
          <w:sz w:val="24"/>
          <w:szCs w:val="24"/>
          <w:lang w:eastAsia="es-CO"/>
        </w:rPr>
        <w:t xml:space="preserve">esta </w:t>
      </w:r>
      <w:r w:rsidRPr="006D3A28">
        <w:rPr>
          <w:rFonts w:ascii="Arial" w:hAnsi="Arial" w:cs="Arial"/>
          <w:sz w:val="24"/>
          <w:szCs w:val="24"/>
          <w:lang w:eastAsia="es-CO"/>
        </w:rPr>
        <w:t xml:space="preserve">decisión de la Superintendencia de Industria y Comercio </w:t>
      </w:r>
      <w:r w:rsidRPr="006D3A28">
        <w:rPr>
          <w:rFonts w:ascii="Arial" w:hAnsi="Arial" w:cs="Arial"/>
          <w:b/>
          <w:bCs/>
          <w:sz w:val="24"/>
          <w:szCs w:val="24"/>
          <w:lang w:eastAsia="es-CO"/>
        </w:rPr>
        <w:t>NO</w:t>
      </w:r>
      <w:r w:rsidRPr="006D3A28">
        <w:rPr>
          <w:rFonts w:ascii="Arial" w:hAnsi="Arial" w:cs="Arial"/>
          <w:sz w:val="24"/>
          <w:szCs w:val="24"/>
          <w:lang w:eastAsia="es-CO"/>
        </w:rPr>
        <w:t> procede ningún recurso.</w:t>
      </w:r>
    </w:p>
    <w:p w:rsidR="00CC4379" w:rsidRPr="006D3A28" w:rsidRDefault="00CC4379" w:rsidP="006D3A28">
      <w:pPr>
        <w:spacing w:after="0" w:line="240" w:lineRule="auto"/>
        <w:rPr>
          <w:rFonts w:ascii="Arial" w:eastAsia="Calibri" w:hAnsi="Arial" w:cs="Arial"/>
          <w:sz w:val="24"/>
          <w:szCs w:val="24"/>
        </w:rPr>
      </w:pPr>
    </w:p>
    <w:sectPr w:rsidR="00CC4379" w:rsidRPr="006D3A28" w:rsidSect="006D3A28">
      <w:headerReference w:type="default" r:id="rId8"/>
      <w:footerReference w:type="default" r:id="rId9"/>
      <w:pgSz w:w="12242" w:h="15842" w:code="1"/>
      <w:pgMar w:top="1418" w:right="1418" w:bottom="1134" w:left="1418" w:header="794"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AE" w:rsidRDefault="00F833AE">
      <w:pPr>
        <w:spacing w:after="0" w:line="240" w:lineRule="auto"/>
      </w:pPr>
      <w:r>
        <w:separator/>
      </w:r>
    </w:p>
  </w:endnote>
  <w:endnote w:type="continuationSeparator" w:id="0">
    <w:p w:rsidR="00F833AE" w:rsidRDefault="00F8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2" w:type="dxa"/>
      <w:tblInd w:w="-176" w:type="dxa"/>
      <w:tblLook w:val="04A0" w:firstRow="1" w:lastRow="0" w:firstColumn="1" w:lastColumn="0" w:noHBand="0" w:noVBand="1"/>
    </w:tblPr>
    <w:tblGrid>
      <w:gridCol w:w="6276"/>
      <w:gridCol w:w="3726"/>
    </w:tblGrid>
    <w:tr w:rsidR="00467764">
      <w:trPr>
        <w:trHeight w:val="633"/>
      </w:trPr>
      <w:tc>
        <w:tcPr>
          <w:tcW w:w="6276" w:type="dxa"/>
        </w:tcPr>
        <w:p w:rsidR="00467764" w:rsidRPr="00CA1B37" w:rsidRDefault="00467764">
          <w:pPr>
            <w:spacing w:after="0"/>
            <w:rPr>
              <w:rFonts w:ascii="Arial" w:hAnsi="Arial" w:cs="Arial"/>
              <w:color w:val="FFFFFF" w:themeColor="background1"/>
              <w:sz w:val="14"/>
              <w:szCs w:val="14"/>
            </w:rPr>
          </w:pPr>
          <w:r w:rsidRPr="00CA1B37">
            <w:rPr>
              <w:rFonts w:ascii="Arial" w:hAnsi="Arial" w:cs="Arial"/>
              <w:color w:val="FFFFFF" w:themeColor="background1"/>
              <w:sz w:val="14"/>
              <w:szCs w:val="14"/>
            </w:rPr>
            <w:t>Al contestar favor indique el número</w:t>
          </w:r>
        </w:p>
        <w:p w:rsidR="00467764" w:rsidRPr="00CA1B37" w:rsidRDefault="00467764">
          <w:pPr>
            <w:spacing w:after="0"/>
            <w:rPr>
              <w:rFonts w:ascii="Arial" w:hAnsi="Arial" w:cs="Arial"/>
              <w:color w:val="FFFFFF" w:themeColor="background1"/>
              <w:sz w:val="14"/>
              <w:szCs w:val="14"/>
            </w:rPr>
          </w:pPr>
          <w:r w:rsidRPr="00CA1B37">
            <w:rPr>
              <w:rFonts w:ascii="Arial" w:hAnsi="Arial" w:cs="Arial"/>
              <w:color w:val="FFFFFF" w:themeColor="background1"/>
              <w:sz w:val="14"/>
              <w:szCs w:val="14"/>
            </w:rPr>
            <w:t>de radicación que se indica a continuación:</w:t>
          </w:r>
        </w:p>
        <w:p w:rsidR="00467764" w:rsidRDefault="00467764">
          <w:pPr>
            <w:pStyle w:val="Encabezado"/>
          </w:pPr>
          <w:r w:rsidRPr="00CA1B37">
            <w:rPr>
              <w:rFonts w:ascii="Arial" w:hAnsi="Arial" w:cs="Arial"/>
              <w:color w:val="FFFFFF" w:themeColor="background1"/>
              <w:sz w:val="14"/>
              <w:szCs w:val="14"/>
            </w:rPr>
            <w:t>Radicación: 12-202481- -147-0 – 2015-03-05 11:38:38</w:t>
          </w:r>
          <w:r w:rsidRPr="00CA1B37">
            <w:rPr>
              <w:color w:val="FFFFFF" w:themeColor="background1"/>
            </w:rPr>
            <w:t xml:space="preserve"> </w:t>
          </w:r>
          <w:r>
            <w:rPr>
              <w:noProof/>
              <w:lang w:val="es-CO" w:eastAsia="es-CO"/>
            </w:rPr>
            <w:drawing>
              <wp:inline distT="0" distB="0" distL="0" distR="0" wp14:anchorId="3B3B962B" wp14:editId="77FCD4FF">
                <wp:extent cx="3829050" cy="45720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457200"/>
                        </a:xfrm>
                        <a:prstGeom prst="rect">
                          <a:avLst/>
                        </a:prstGeom>
                        <a:noFill/>
                        <a:ln>
                          <a:noFill/>
                        </a:ln>
                      </pic:spPr>
                    </pic:pic>
                  </a:graphicData>
                </a:graphic>
              </wp:inline>
            </w:drawing>
          </w:r>
        </w:p>
      </w:tc>
      <w:tc>
        <w:tcPr>
          <w:tcW w:w="3726" w:type="dxa"/>
        </w:tcPr>
        <w:p w:rsidR="00467764" w:rsidRDefault="00467764">
          <w:pPr>
            <w:pStyle w:val="Encabezado"/>
            <w:jc w:val="right"/>
          </w:pPr>
        </w:p>
        <w:p w:rsidR="00467764" w:rsidRDefault="00467764">
          <w:pPr>
            <w:pStyle w:val="Encabezado"/>
            <w:jc w:val="right"/>
          </w:pPr>
        </w:p>
        <w:p w:rsidR="00467764" w:rsidRDefault="00467764">
          <w:pPr>
            <w:pStyle w:val="Encabezado"/>
            <w:jc w:val="right"/>
          </w:pPr>
          <w:r>
            <w:rPr>
              <w:noProof/>
              <w:lang w:val="es-CO" w:eastAsia="es-CO"/>
            </w:rPr>
            <w:drawing>
              <wp:inline distT="0" distB="0" distL="0" distR="0" wp14:anchorId="398431A0" wp14:editId="1F708BB0">
                <wp:extent cx="2200275" cy="571500"/>
                <wp:effectExtent l="0" t="0" r="952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571500"/>
                        </a:xfrm>
                        <a:prstGeom prst="rect">
                          <a:avLst/>
                        </a:prstGeom>
                        <a:noFill/>
                        <a:ln>
                          <a:noFill/>
                        </a:ln>
                      </pic:spPr>
                    </pic:pic>
                  </a:graphicData>
                </a:graphic>
              </wp:inline>
            </w:drawing>
          </w:r>
        </w:p>
      </w:tc>
    </w:tr>
  </w:tbl>
  <w:p w:rsidR="00467764" w:rsidRDefault="00467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AE" w:rsidRDefault="00F833AE">
      <w:pPr>
        <w:spacing w:after="0" w:line="240" w:lineRule="auto"/>
      </w:pPr>
      <w:r>
        <w:separator/>
      </w:r>
    </w:p>
  </w:footnote>
  <w:footnote w:type="continuationSeparator" w:id="0">
    <w:p w:rsidR="00F833AE" w:rsidRDefault="00F83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Look w:val="04A0" w:firstRow="1" w:lastRow="0" w:firstColumn="1" w:lastColumn="0" w:noHBand="0" w:noVBand="1"/>
    </w:tblPr>
    <w:tblGrid>
      <w:gridCol w:w="4534"/>
      <w:gridCol w:w="2646"/>
      <w:gridCol w:w="2901"/>
    </w:tblGrid>
    <w:tr w:rsidR="00467764">
      <w:tc>
        <w:tcPr>
          <w:tcW w:w="4551" w:type="dxa"/>
        </w:tcPr>
        <w:p w:rsidR="00467764" w:rsidRDefault="00467764">
          <w:pPr>
            <w:pStyle w:val="Encabezado"/>
          </w:pPr>
          <w:r>
            <w:rPr>
              <w:noProof/>
              <w:lang w:val="es-CO" w:eastAsia="es-CO"/>
            </w:rPr>
            <w:drawing>
              <wp:inline distT="0" distB="0" distL="0" distR="0" wp14:anchorId="14367713" wp14:editId="0882DEE9">
                <wp:extent cx="2466975" cy="762000"/>
                <wp:effectExtent l="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62000"/>
                        </a:xfrm>
                        <a:prstGeom prst="rect">
                          <a:avLst/>
                        </a:prstGeom>
                        <a:noFill/>
                        <a:ln>
                          <a:noFill/>
                        </a:ln>
                      </pic:spPr>
                    </pic:pic>
                  </a:graphicData>
                </a:graphic>
              </wp:inline>
            </w:drawing>
          </w:r>
        </w:p>
      </w:tc>
      <w:tc>
        <w:tcPr>
          <w:tcW w:w="2038" w:type="dxa"/>
        </w:tcPr>
        <w:p w:rsidR="00467764" w:rsidRDefault="00467764">
          <w:pPr>
            <w:pStyle w:val="Encabezado"/>
          </w:pPr>
          <w:r>
            <w:rPr>
              <w:noProof/>
              <w:lang w:val="es-CO" w:eastAsia="es-CO"/>
            </w:rPr>
            <w:drawing>
              <wp:anchor distT="0" distB="0" distL="114300" distR="114300" simplePos="0" relativeHeight="251658240" behindDoc="0" locked="0" layoutInCell="1" allowOverlap="1" wp14:anchorId="1FAE3D4E" wp14:editId="7A7296B3">
                <wp:simplePos x="0" y="0"/>
                <wp:positionH relativeFrom="column">
                  <wp:posOffset>36195</wp:posOffset>
                </wp:positionH>
                <wp:positionV relativeFrom="paragraph">
                  <wp:posOffset>204470</wp:posOffset>
                </wp:positionV>
                <wp:extent cx="1536700" cy="393700"/>
                <wp:effectExtent l="0" t="0" r="6350" b="635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 le juego limpio a colombia.png"/>
                        <pic:cNvPicPr/>
                      </pic:nvPicPr>
                      <pic:blipFill>
                        <a:blip r:embed="rId2">
                          <a:extLst>
                            <a:ext uri="{28A0092B-C50C-407E-A947-70E740481C1C}">
                              <a14:useLocalDpi xmlns:a14="http://schemas.microsoft.com/office/drawing/2010/main" val="0"/>
                            </a:ext>
                          </a:extLst>
                        </a:blip>
                        <a:stretch>
                          <a:fillRect/>
                        </a:stretch>
                      </pic:blipFill>
                      <pic:spPr>
                        <a:xfrm>
                          <a:off x="0" y="0"/>
                          <a:ext cx="1536700" cy="393700"/>
                        </a:xfrm>
                        <a:prstGeom prst="rect">
                          <a:avLst/>
                        </a:prstGeom>
                      </pic:spPr>
                    </pic:pic>
                  </a:graphicData>
                </a:graphic>
              </wp:anchor>
            </w:drawing>
          </w:r>
        </w:p>
      </w:tc>
      <w:tc>
        <w:tcPr>
          <w:tcW w:w="2924" w:type="dxa"/>
        </w:tcPr>
        <w:p w:rsidR="00467764" w:rsidRDefault="00467764">
          <w:pPr>
            <w:pStyle w:val="Encabezado"/>
            <w:jc w:val="right"/>
          </w:pPr>
          <w:r>
            <w:rPr>
              <w:noProof/>
              <w:lang w:val="es-CO" w:eastAsia="es-CO"/>
            </w:rPr>
            <w:drawing>
              <wp:inline distT="0" distB="0" distL="0" distR="0" wp14:anchorId="190C482B" wp14:editId="073945E8">
                <wp:extent cx="1343025" cy="714375"/>
                <wp:effectExtent l="0" t="0" r="952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tc>
    </w:tr>
  </w:tbl>
  <w:p w:rsidR="00467764" w:rsidRDefault="00467764" w:rsidP="00D00EF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534D8"/>
    <w:multiLevelType w:val="hybridMultilevel"/>
    <w:tmpl w:val="A05C6B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B893E83"/>
    <w:multiLevelType w:val="multilevel"/>
    <w:tmpl w:val="B06A61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721C0"/>
    <w:multiLevelType w:val="hybridMultilevel"/>
    <w:tmpl w:val="0E4E03BE"/>
    <w:lvl w:ilvl="0" w:tplc="DE1099A6">
      <w:start w:val="1"/>
      <w:numFmt w:val="bullet"/>
      <w:lvlText w:val=""/>
      <w:lvlJc w:val="left"/>
      <w:pPr>
        <w:ind w:left="360" w:hanging="360"/>
      </w:pPr>
      <w:rPr>
        <w:rFonts w:ascii="Symbol" w:hAnsi="Symbol" w:hint="default"/>
      </w:rPr>
    </w:lvl>
    <w:lvl w:ilvl="1" w:tplc="06AAF886">
      <w:start w:val="1"/>
      <w:numFmt w:val="bullet"/>
      <w:lvlText w:val="o"/>
      <w:lvlJc w:val="left"/>
      <w:pPr>
        <w:ind w:left="1080" w:hanging="360"/>
      </w:pPr>
      <w:rPr>
        <w:rFonts w:ascii="Courier New" w:hAnsi="Courier New" w:cs="Courier New" w:hint="default"/>
      </w:rPr>
    </w:lvl>
    <w:lvl w:ilvl="2" w:tplc="F56E1BEC">
      <w:start w:val="1"/>
      <w:numFmt w:val="bullet"/>
      <w:lvlText w:val=""/>
      <w:lvlJc w:val="left"/>
      <w:pPr>
        <w:ind w:left="1800" w:hanging="360"/>
      </w:pPr>
      <w:rPr>
        <w:rFonts w:ascii="Wingdings" w:hAnsi="Wingdings" w:hint="default"/>
      </w:rPr>
    </w:lvl>
    <w:lvl w:ilvl="3" w:tplc="977042F0">
      <w:start w:val="1"/>
      <w:numFmt w:val="bullet"/>
      <w:lvlText w:val=""/>
      <w:lvlJc w:val="left"/>
      <w:pPr>
        <w:ind w:left="2520" w:hanging="360"/>
      </w:pPr>
      <w:rPr>
        <w:rFonts w:ascii="Symbol" w:hAnsi="Symbol" w:hint="default"/>
      </w:rPr>
    </w:lvl>
    <w:lvl w:ilvl="4" w:tplc="6A1A0258">
      <w:start w:val="1"/>
      <w:numFmt w:val="bullet"/>
      <w:lvlText w:val="o"/>
      <w:lvlJc w:val="left"/>
      <w:pPr>
        <w:ind w:left="3240" w:hanging="360"/>
      </w:pPr>
      <w:rPr>
        <w:rFonts w:ascii="Courier New" w:hAnsi="Courier New" w:cs="Courier New" w:hint="default"/>
      </w:rPr>
    </w:lvl>
    <w:lvl w:ilvl="5" w:tplc="2A4E5F5E">
      <w:start w:val="1"/>
      <w:numFmt w:val="bullet"/>
      <w:lvlText w:val=""/>
      <w:lvlJc w:val="left"/>
      <w:pPr>
        <w:ind w:left="3960" w:hanging="360"/>
      </w:pPr>
      <w:rPr>
        <w:rFonts w:ascii="Wingdings" w:hAnsi="Wingdings" w:hint="default"/>
      </w:rPr>
    </w:lvl>
    <w:lvl w:ilvl="6" w:tplc="FB3A684A">
      <w:start w:val="1"/>
      <w:numFmt w:val="bullet"/>
      <w:lvlText w:val=""/>
      <w:lvlJc w:val="left"/>
      <w:pPr>
        <w:ind w:left="4680" w:hanging="360"/>
      </w:pPr>
      <w:rPr>
        <w:rFonts w:ascii="Symbol" w:hAnsi="Symbol" w:hint="default"/>
      </w:rPr>
    </w:lvl>
    <w:lvl w:ilvl="7" w:tplc="378A0C38">
      <w:start w:val="1"/>
      <w:numFmt w:val="bullet"/>
      <w:lvlText w:val="o"/>
      <w:lvlJc w:val="left"/>
      <w:pPr>
        <w:ind w:left="5400" w:hanging="360"/>
      </w:pPr>
      <w:rPr>
        <w:rFonts w:ascii="Courier New" w:hAnsi="Courier New" w:cs="Courier New" w:hint="default"/>
      </w:rPr>
    </w:lvl>
    <w:lvl w:ilvl="8" w:tplc="1E9CCD92">
      <w:start w:val="1"/>
      <w:numFmt w:val="bullet"/>
      <w:lvlText w:val=""/>
      <w:lvlJc w:val="left"/>
      <w:pPr>
        <w:ind w:left="6120" w:hanging="360"/>
      </w:pPr>
      <w:rPr>
        <w:rFonts w:ascii="Wingdings" w:hAnsi="Wingdings" w:hint="default"/>
      </w:rPr>
    </w:lvl>
  </w:abstractNum>
  <w:abstractNum w:abstractNumId="3">
    <w:nsid w:val="606426EC"/>
    <w:multiLevelType w:val="hybridMultilevel"/>
    <w:tmpl w:val="2D0475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DA34E7"/>
    <w:multiLevelType w:val="hybridMultilevel"/>
    <w:tmpl w:val="8632A8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63003FF4"/>
    <w:multiLevelType w:val="hybridMultilevel"/>
    <w:tmpl w:val="7A860416"/>
    <w:lvl w:ilvl="0" w:tplc="23F4A3B8">
      <w:start w:val="1"/>
      <w:numFmt w:val="bullet"/>
      <w:lvlText w:val=""/>
      <w:lvlJc w:val="left"/>
      <w:pPr>
        <w:ind w:left="720" w:hanging="360"/>
      </w:pPr>
      <w:rPr>
        <w:rFonts w:ascii="Symbol" w:hAnsi="Symbol" w:hint="default"/>
      </w:rPr>
    </w:lvl>
    <w:lvl w:ilvl="1" w:tplc="762A8430">
      <w:start w:val="1"/>
      <w:numFmt w:val="bullet"/>
      <w:lvlText w:val="o"/>
      <w:lvlJc w:val="left"/>
      <w:pPr>
        <w:ind w:left="1440" w:hanging="360"/>
      </w:pPr>
      <w:rPr>
        <w:rFonts w:ascii="Courier New" w:hAnsi="Courier New" w:cs="Courier New" w:hint="default"/>
      </w:rPr>
    </w:lvl>
    <w:lvl w:ilvl="2" w:tplc="96DAC3EA">
      <w:start w:val="1"/>
      <w:numFmt w:val="bullet"/>
      <w:lvlText w:val=""/>
      <w:lvlJc w:val="left"/>
      <w:pPr>
        <w:ind w:left="2160" w:hanging="360"/>
      </w:pPr>
      <w:rPr>
        <w:rFonts w:ascii="Wingdings" w:hAnsi="Wingdings" w:hint="default"/>
      </w:rPr>
    </w:lvl>
    <w:lvl w:ilvl="3" w:tplc="71F40DE6">
      <w:start w:val="1"/>
      <w:numFmt w:val="bullet"/>
      <w:lvlText w:val=""/>
      <w:lvlJc w:val="left"/>
      <w:pPr>
        <w:ind w:left="2880" w:hanging="360"/>
      </w:pPr>
      <w:rPr>
        <w:rFonts w:ascii="Symbol" w:hAnsi="Symbol" w:hint="default"/>
      </w:rPr>
    </w:lvl>
    <w:lvl w:ilvl="4" w:tplc="73EA51A6">
      <w:start w:val="1"/>
      <w:numFmt w:val="bullet"/>
      <w:lvlText w:val="o"/>
      <w:lvlJc w:val="left"/>
      <w:pPr>
        <w:ind w:left="3600" w:hanging="360"/>
      </w:pPr>
      <w:rPr>
        <w:rFonts w:ascii="Courier New" w:hAnsi="Courier New" w:cs="Courier New" w:hint="default"/>
      </w:rPr>
    </w:lvl>
    <w:lvl w:ilvl="5" w:tplc="D636639A">
      <w:start w:val="1"/>
      <w:numFmt w:val="bullet"/>
      <w:lvlText w:val=""/>
      <w:lvlJc w:val="left"/>
      <w:pPr>
        <w:ind w:left="4320" w:hanging="360"/>
      </w:pPr>
      <w:rPr>
        <w:rFonts w:ascii="Wingdings" w:hAnsi="Wingdings" w:hint="default"/>
      </w:rPr>
    </w:lvl>
    <w:lvl w:ilvl="6" w:tplc="6C1E548C">
      <w:start w:val="1"/>
      <w:numFmt w:val="bullet"/>
      <w:lvlText w:val=""/>
      <w:lvlJc w:val="left"/>
      <w:pPr>
        <w:ind w:left="5040" w:hanging="360"/>
      </w:pPr>
      <w:rPr>
        <w:rFonts w:ascii="Symbol" w:hAnsi="Symbol" w:hint="default"/>
      </w:rPr>
    </w:lvl>
    <w:lvl w:ilvl="7" w:tplc="D8584288">
      <w:start w:val="1"/>
      <w:numFmt w:val="bullet"/>
      <w:lvlText w:val="o"/>
      <w:lvlJc w:val="left"/>
      <w:pPr>
        <w:ind w:left="5760" w:hanging="360"/>
      </w:pPr>
      <w:rPr>
        <w:rFonts w:ascii="Courier New" w:hAnsi="Courier New" w:cs="Courier New" w:hint="default"/>
      </w:rPr>
    </w:lvl>
    <w:lvl w:ilvl="8" w:tplc="BD3E70FC">
      <w:start w:val="1"/>
      <w:numFmt w:val="bullet"/>
      <w:lvlText w:val=""/>
      <w:lvlJc w:val="left"/>
      <w:pPr>
        <w:ind w:left="6480" w:hanging="360"/>
      </w:pPr>
      <w:rPr>
        <w:rFonts w:ascii="Wingdings" w:hAnsi="Wingdings" w:hint="default"/>
      </w:rPr>
    </w:lvl>
  </w:abstractNum>
  <w:abstractNum w:abstractNumId="6">
    <w:nsid w:val="6E86486A"/>
    <w:multiLevelType w:val="hybridMultilevel"/>
    <w:tmpl w:val="A73C12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763943BB"/>
    <w:multiLevelType w:val="hybridMultilevel"/>
    <w:tmpl w:val="1DFE220E"/>
    <w:lvl w:ilvl="0" w:tplc="EF565BAE">
      <w:start w:val="1"/>
      <w:numFmt w:val="lowerRoman"/>
      <w:lvlText w:val="(%1)"/>
      <w:lvlJc w:val="left"/>
      <w:pPr>
        <w:ind w:left="1080" w:hanging="720"/>
      </w:pPr>
      <w:rPr>
        <w:rFonts w:hint="default"/>
        <w:b/>
      </w:rPr>
    </w:lvl>
    <w:lvl w:ilvl="1" w:tplc="B040FE94">
      <w:start w:val="1"/>
      <w:numFmt w:val="lowerLetter"/>
      <w:lvlText w:val="%2."/>
      <w:lvlJc w:val="left"/>
      <w:pPr>
        <w:ind w:left="1440" w:hanging="360"/>
      </w:pPr>
    </w:lvl>
    <w:lvl w:ilvl="2" w:tplc="3732C06C">
      <w:start w:val="1"/>
      <w:numFmt w:val="lowerRoman"/>
      <w:lvlText w:val="%3."/>
      <w:lvlJc w:val="right"/>
      <w:pPr>
        <w:ind w:left="2160" w:hanging="180"/>
      </w:pPr>
    </w:lvl>
    <w:lvl w:ilvl="3" w:tplc="8312C9F0">
      <w:start w:val="1"/>
      <w:numFmt w:val="decimal"/>
      <w:lvlText w:val="%4."/>
      <w:lvlJc w:val="left"/>
      <w:pPr>
        <w:ind w:left="2880" w:hanging="360"/>
      </w:pPr>
    </w:lvl>
    <w:lvl w:ilvl="4" w:tplc="718EAF10">
      <w:start w:val="1"/>
      <w:numFmt w:val="lowerLetter"/>
      <w:lvlText w:val="%5."/>
      <w:lvlJc w:val="left"/>
      <w:pPr>
        <w:ind w:left="3600" w:hanging="360"/>
      </w:pPr>
    </w:lvl>
    <w:lvl w:ilvl="5" w:tplc="6D027A52">
      <w:start w:val="1"/>
      <w:numFmt w:val="lowerRoman"/>
      <w:lvlText w:val="%6."/>
      <w:lvlJc w:val="right"/>
      <w:pPr>
        <w:ind w:left="4320" w:hanging="180"/>
      </w:pPr>
    </w:lvl>
    <w:lvl w:ilvl="6" w:tplc="2A38131A">
      <w:start w:val="1"/>
      <w:numFmt w:val="decimal"/>
      <w:lvlText w:val="%7."/>
      <w:lvlJc w:val="left"/>
      <w:pPr>
        <w:ind w:left="5040" w:hanging="360"/>
      </w:pPr>
    </w:lvl>
    <w:lvl w:ilvl="7" w:tplc="47FE49F2">
      <w:start w:val="1"/>
      <w:numFmt w:val="lowerLetter"/>
      <w:lvlText w:val="%8."/>
      <w:lvlJc w:val="left"/>
      <w:pPr>
        <w:ind w:left="5760" w:hanging="360"/>
      </w:pPr>
    </w:lvl>
    <w:lvl w:ilvl="8" w:tplc="1952C212">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3B"/>
    <w:rsid w:val="000022F8"/>
    <w:rsid w:val="00004458"/>
    <w:rsid w:val="00010D8A"/>
    <w:rsid w:val="00010E45"/>
    <w:rsid w:val="000120FC"/>
    <w:rsid w:val="00012289"/>
    <w:rsid w:val="00015F98"/>
    <w:rsid w:val="00021B77"/>
    <w:rsid w:val="00024A47"/>
    <w:rsid w:val="000264E7"/>
    <w:rsid w:val="00027864"/>
    <w:rsid w:val="00035620"/>
    <w:rsid w:val="00036DB5"/>
    <w:rsid w:val="00040128"/>
    <w:rsid w:val="0004509A"/>
    <w:rsid w:val="00045B45"/>
    <w:rsid w:val="00060241"/>
    <w:rsid w:val="000606E8"/>
    <w:rsid w:val="000731FB"/>
    <w:rsid w:val="00082BD1"/>
    <w:rsid w:val="00083A8D"/>
    <w:rsid w:val="00091A23"/>
    <w:rsid w:val="00092796"/>
    <w:rsid w:val="00097A1C"/>
    <w:rsid w:val="000A6D68"/>
    <w:rsid w:val="000A75B1"/>
    <w:rsid w:val="000B0A4E"/>
    <w:rsid w:val="000B0A74"/>
    <w:rsid w:val="000B1590"/>
    <w:rsid w:val="000B1A61"/>
    <w:rsid w:val="000B2324"/>
    <w:rsid w:val="000B7B1C"/>
    <w:rsid w:val="000C14B6"/>
    <w:rsid w:val="000C5C59"/>
    <w:rsid w:val="000C72A2"/>
    <w:rsid w:val="000D2E0E"/>
    <w:rsid w:val="000D49B7"/>
    <w:rsid w:val="000E51E9"/>
    <w:rsid w:val="000E6A8F"/>
    <w:rsid w:val="000F186A"/>
    <w:rsid w:val="000F2B4C"/>
    <w:rsid w:val="001011D1"/>
    <w:rsid w:val="00102B85"/>
    <w:rsid w:val="00102F52"/>
    <w:rsid w:val="00110A30"/>
    <w:rsid w:val="00111B0B"/>
    <w:rsid w:val="00112688"/>
    <w:rsid w:val="001172DF"/>
    <w:rsid w:val="0012014E"/>
    <w:rsid w:val="00126A52"/>
    <w:rsid w:val="00131B68"/>
    <w:rsid w:val="0013560F"/>
    <w:rsid w:val="00137A21"/>
    <w:rsid w:val="00141FE2"/>
    <w:rsid w:val="00150C6A"/>
    <w:rsid w:val="00153363"/>
    <w:rsid w:val="00155696"/>
    <w:rsid w:val="001569B9"/>
    <w:rsid w:val="00163EB4"/>
    <w:rsid w:val="00165775"/>
    <w:rsid w:val="001759D1"/>
    <w:rsid w:val="00180F01"/>
    <w:rsid w:val="00183DA9"/>
    <w:rsid w:val="001933BF"/>
    <w:rsid w:val="00193A8A"/>
    <w:rsid w:val="00196240"/>
    <w:rsid w:val="00197E16"/>
    <w:rsid w:val="001A051B"/>
    <w:rsid w:val="001A4AA2"/>
    <w:rsid w:val="001A62F2"/>
    <w:rsid w:val="001A630C"/>
    <w:rsid w:val="001C456B"/>
    <w:rsid w:val="001C7E4D"/>
    <w:rsid w:val="001D20F3"/>
    <w:rsid w:val="001D7F83"/>
    <w:rsid w:val="001E3F15"/>
    <w:rsid w:val="001E6B8D"/>
    <w:rsid w:val="001E729B"/>
    <w:rsid w:val="001F3432"/>
    <w:rsid w:val="001F4AC7"/>
    <w:rsid w:val="002014A3"/>
    <w:rsid w:val="00205435"/>
    <w:rsid w:val="00214D15"/>
    <w:rsid w:val="00216873"/>
    <w:rsid w:val="00222F85"/>
    <w:rsid w:val="00223809"/>
    <w:rsid w:val="00224BD3"/>
    <w:rsid w:val="002254D7"/>
    <w:rsid w:val="002279B8"/>
    <w:rsid w:val="00233E9A"/>
    <w:rsid w:val="0023485E"/>
    <w:rsid w:val="0023572C"/>
    <w:rsid w:val="00243CE2"/>
    <w:rsid w:val="00246C4F"/>
    <w:rsid w:val="002470DC"/>
    <w:rsid w:val="00247B79"/>
    <w:rsid w:val="0025206D"/>
    <w:rsid w:val="0025470B"/>
    <w:rsid w:val="00254BA4"/>
    <w:rsid w:val="0025563B"/>
    <w:rsid w:val="00265354"/>
    <w:rsid w:val="002670A3"/>
    <w:rsid w:val="00267DB2"/>
    <w:rsid w:val="00267FDC"/>
    <w:rsid w:val="00271448"/>
    <w:rsid w:val="00275778"/>
    <w:rsid w:val="00281690"/>
    <w:rsid w:val="002817A1"/>
    <w:rsid w:val="00281AE2"/>
    <w:rsid w:val="00281FCA"/>
    <w:rsid w:val="00282481"/>
    <w:rsid w:val="00282486"/>
    <w:rsid w:val="002867E1"/>
    <w:rsid w:val="002913CC"/>
    <w:rsid w:val="00293710"/>
    <w:rsid w:val="002940CA"/>
    <w:rsid w:val="002955C4"/>
    <w:rsid w:val="00296A66"/>
    <w:rsid w:val="00296E19"/>
    <w:rsid w:val="00296FE5"/>
    <w:rsid w:val="002A358F"/>
    <w:rsid w:val="002B6A77"/>
    <w:rsid w:val="002B759D"/>
    <w:rsid w:val="002B7DAB"/>
    <w:rsid w:val="002D3158"/>
    <w:rsid w:val="002D3995"/>
    <w:rsid w:val="002E2F47"/>
    <w:rsid w:val="002E3D40"/>
    <w:rsid w:val="002F14DD"/>
    <w:rsid w:val="002F237F"/>
    <w:rsid w:val="002F54CB"/>
    <w:rsid w:val="002F7040"/>
    <w:rsid w:val="00300F6E"/>
    <w:rsid w:val="00303F3A"/>
    <w:rsid w:val="003047F1"/>
    <w:rsid w:val="00311765"/>
    <w:rsid w:val="00312645"/>
    <w:rsid w:val="00317C52"/>
    <w:rsid w:val="0032046B"/>
    <w:rsid w:val="00322A17"/>
    <w:rsid w:val="00325527"/>
    <w:rsid w:val="003278F3"/>
    <w:rsid w:val="00332514"/>
    <w:rsid w:val="00337655"/>
    <w:rsid w:val="00337BB5"/>
    <w:rsid w:val="00340F45"/>
    <w:rsid w:val="0034790C"/>
    <w:rsid w:val="00350A3E"/>
    <w:rsid w:val="003522B5"/>
    <w:rsid w:val="00352DB9"/>
    <w:rsid w:val="00362CDF"/>
    <w:rsid w:val="00362D2C"/>
    <w:rsid w:val="00363140"/>
    <w:rsid w:val="00364FBB"/>
    <w:rsid w:val="00367FE5"/>
    <w:rsid w:val="0037366F"/>
    <w:rsid w:val="0037775B"/>
    <w:rsid w:val="00380012"/>
    <w:rsid w:val="00384875"/>
    <w:rsid w:val="00391C8F"/>
    <w:rsid w:val="003934C1"/>
    <w:rsid w:val="003945CB"/>
    <w:rsid w:val="00396326"/>
    <w:rsid w:val="003A4053"/>
    <w:rsid w:val="003A6B44"/>
    <w:rsid w:val="003B2F35"/>
    <w:rsid w:val="003B56B0"/>
    <w:rsid w:val="003B6221"/>
    <w:rsid w:val="003C13A8"/>
    <w:rsid w:val="003C4EAA"/>
    <w:rsid w:val="003C658E"/>
    <w:rsid w:val="003C7A2E"/>
    <w:rsid w:val="003D104F"/>
    <w:rsid w:val="003D334C"/>
    <w:rsid w:val="003D51EB"/>
    <w:rsid w:val="003E748F"/>
    <w:rsid w:val="003F099D"/>
    <w:rsid w:val="003F39CF"/>
    <w:rsid w:val="003F6289"/>
    <w:rsid w:val="003F7B86"/>
    <w:rsid w:val="00402610"/>
    <w:rsid w:val="0040498A"/>
    <w:rsid w:val="004110F6"/>
    <w:rsid w:val="0041135B"/>
    <w:rsid w:val="00411BD5"/>
    <w:rsid w:val="004149D3"/>
    <w:rsid w:val="00416046"/>
    <w:rsid w:val="004170CA"/>
    <w:rsid w:val="00423DA0"/>
    <w:rsid w:val="00424D27"/>
    <w:rsid w:val="00434C52"/>
    <w:rsid w:val="00440E81"/>
    <w:rsid w:val="004413C8"/>
    <w:rsid w:val="004426DB"/>
    <w:rsid w:val="00442E33"/>
    <w:rsid w:val="004447D2"/>
    <w:rsid w:val="004542D6"/>
    <w:rsid w:val="00456497"/>
    <w:rsid w:val="00456EC4"/>
    <w:rsid w:val="00461557"/>
    <w:rsid w:val="0046368B"/>
    <w:rsid w:val="004641BA"/>
    <w:rsid w:val="0046572D"/>
    <w:rsid w:val="004666F7"/>
    <w:rsid w:val="00467764"/>
    <w:rsid w:val="00472F6D"/>
    <w:rsid w:val="00476073"/>
    <w:rsid w:val="0047669F"/>
    <w:rsid w:val="00476CEE"/>
    <w:rsid w:val="004773C2"/>
    <w:rsid w:val="00481B06"/>
    <w:rsid w:val="004851D9"/>
    <w:rsid w:val="0049036F"/>
    <w:rsid w:val="00497B48"/>
    <w:rsid w:val="004A5B52"/>
    <w:rsid w:val="004A5C19"/>
    <w:rsid w:val="004B5BF2"/>
    <w:rsid w:val="004C0A7E"/>
    <w:rsid w:val="004C336B"/>
    <w:rsid w:val="004C65EF"/>
    <w:rsid w:val="004D02B7"/>
    <w:rsid w:val="004D15C6"/>
    <w:rsid w:val="004D35EA"/>
    <w:rsid w:val="004D5D94"/>
    <w:rsid w:val="004D6BBB"/>
    <w:rsid w:val="004E0B78"/>
    <w:rsid w:val="004E1491"/>
    <w:rsid w:val="004E242D"/>
    <w:rsid w:val="004F054A"/>
    <w:rsid w:val="004F1E68"/>
    <w:rsid w:val="004F452A"/>
    <w:rsid w:val="004F5626"/>
    <w:rsid w:val="004F5EBB"/>
    <w:rsid w:val="004F6010"/>
    <w:rsid w:val="00501C2B"/>
    <w:rsid w:val="00510684"/>
    <w:rsid w:val="005106AF"/>
    <w:rsid w:val="005114A3"/>
    <w:rsid w:val="005130D0"/>
    <w:rsid w:val="00516D3C"/>
    <w:rsid w:val="00520656"/>
    <w:rsid w:val="005220A9"/>
    <w:rsid w:val="00522239"/>
    <w:rsid w:val="00522642"/>
    <w:rsid w:val="0052307A"/>
    <w:rsid w:val="0052360D"/>
    <w:rsid w:val="00531C3D"/>
    <w:rsid w:val="00535432"/>
    <w:rsid w:val="00535961"/>
    <w:rsid w:val="00543698"/>
    <w:rsid w:val="005459AC"/>
    <w:rsid w:val="005471B2"/>
    <w:rsid w:val="0055140D"/>
    <w:rsid w:val="005514E6"/>
    <w:rsid w:val="005519F9"/>
    <w:rsid w:val="00553831"/>
    <w:rsid w:val="00564C19"/>
    <w:rsid w:val="00564E4B"/>
    <w:rsid w:val="0056507A"/>
    <w:rsid w:val="00565B4A"/>
    <w:rsid w:val="0056787B"/>
    <w:rsid w:val="005730C9"/>
    <w:rsid w:val="0057679D"/>
    <w:rsid w:val="00577602"/>
    <w:rsid w:val="005802F6"/>
    <w:rsid w:val="00582978"/>
    <w:rsid w:val="00582B95"/>
    <w:rsid w:val="00592870"/>
    <w:rsid w:val="005A236A"/>
    <w:rsid w:val="005A411C"/>
    <w:rsid w:val="005A4999"/>
    <w:rsid w:val="005A5363"/>
    <w:rsid w:val="005A590F"/>
    <w:rsid w:val="005B0441"/>
    <w:rsid w:val="005B056E"/>
    <w:rsid w:val="005B46BB"/>
    <w:rsid w:val="005C0F08"/>
    <w:rsid w:val="005C31C7"/>
    <w:rsid w:val="005C48E7"/>
    <w:rsid w:val="005C796B"/>
    <w:rsid w:val="005C7F33"/>
    <w:rsid w:val="005D02D2"/>
    <w:rsid w:val="005D04C8"/>
    <w:rsid w:val="005D18E2"/>
    <w:rsid w:val="005D3567"/>
    <w:rsid w:val="005D45B1"/>
    <w:rsid w:val="005E1C7E"/>
    <w:rsid w:val="005E3F94"/>
    <w:rsid w:val="005E7A08"/>
    <w:rsid w:val="005F0C21"/>
    <w:rsid w:val="005F1A24"/>
    <w:rsid w:val="005F1ACD"/>
    <w:rsid w:val="005F21EC"/>
    <w:rsid w:val="005F413E"/>
    <w:rsid w:val="005F44D6"/>
    <w:rsid w:val="005F5A45"/>
    <w:rsid w:val="005F6304"/>
    <w:rsid w:val="005F6C5D"/>
    <w:rsid w:val="00605893"/>
    <w:rsid w:val="00611C0D"/>
    <w:rsid w:val="00612EBF"/>
    <w:rsid w:val="00613CC5"/>
    <w:rsid w:val="00613F39"/>
    <w:rsid w:val="006159C8"/>
    <w:rsid w:val="006168D4"/>
    <w:rsid w:val="006202DD"/>
    <w:rsid w:val="006220AF"/>
    <w:rsid w:val="00622981"/>
    <w:rsid w:val="0062364C"/>
    <w:rsid w:val="00624136"/>
    <w:rsid w:val="006250D8"/>
    <w:rsid w:val="006375D3"/>
    <w:rsid w:val="006426F9"/>
    <w:rsid w:val="00642C21"/>
    <w:rsid w:val="00652ADF"/>
    <w:rsid w:val="0066616F"/>
    <w:rsid w:val="00666B7A"/>
    <w:rsid w:val="0067230C"/>
    <w:rsid w:val="00674F79"/>
    <w:rsid w:val="006751C4"/>
    <w:rsid w:val="00682E11"/>
    <w:rsid w:val="00690E32"/>
    <w:rsid w:val="00695CFD"/>
    <w:rsid w:val="00695EEC"/>
    <w:rsid w:val="006969A0"/>
    <w:rsid w:val="006A25FB"/>
    <w:rsid w:val="006A7785"/>
    <w:rsid w:val="006C3AE6"/>
    <w:rsid w:val="006C4C6E"/>
    <w:rsid w:val="006C53E7"/>
    <w:rsid w:val="006C5D5D"/>
    <w:rsid w:val="006C5E19"/>
    <w:rsid w:val="006D004D"/>
    <w:rsid w:val="006D18CC"/>
    <w:rsid w:val="006D3511"/>
    <w:rsid w:val="006D3A28"/>
    <w:rsid w:val="006E3492"/>
    <w:rsid w:val="006E435D"/>
    <w:rsid w:val="006E693E"/>
    <w:rsid w:val="006F1430"/>
    <w:rsid w:val="006F3DD9"/>
    <w:rsid w:val="006F4A6A"/>
    <w:rsid w:val="006F789F"/>
    <w:rsid w:val="00702E17"/>
    <w:rsid w:val="007038D5"/>
    <w:rsid w:val="0070493F"/>
    <w:rsid w:val="0070541C"/>
    <w:rsid w:val="00707659"/>
    <w:rsid w:val="00716B62"/>
    <w:rsid w:val="00723900"/>
    <w:rsid w:val="00723B56"/>
    <w:rsid w:val="00727410"/>
    <w:rsid w:val="00727588"/>
    <w:rsid w:val="00730B0E"/>
    <w:rsid w:val="00735CC1"/>
    <w:rsid w:val="0073679C"/>
    <w:rsid w:val="00737412"/>
    <w:rsid w:val="0074064E"/>
    <w:rsid w:val="00740BF6"/>
    <w:rsid w:val="00744EE9"/>
    <w:rsid w:val="00746A51"/>
    <w:rsid w:val="007515A0"/>
    <w:rsid w:val="0075468A"/>
    <w:rsid w:val="00757EE9"/>
    <w:rsid w:val="007626E9"/>
    <w:rsid w:val="00764250"/>
    <w:rsid w:val="00765901"/>
    <w:rsid w:val="00766B2D"/>
    <w:rsid w:val="00776405"/>
    <w:rsid w:val="00777A31"/>
    <w:rsid w:val="00782D93"/>
    <w:rsid w:val="00784D7B"/>
    <w:rsid w:val="00786229"/>
    <w:rsid w:val="007874CC"/>
    <w:rsid w:val="007925D2"/>
    <w:rsid w:val="007956AB"/>
    <w:rsid w:val="007A0500"/>
    <w:rsid w:val="007A3E51"/>
    <w:rsid w:val="007A507D"/>
    <w:rsid w:val="007B00F9"/>
    <w:rsid w:val="007B025C"/>
    <w:rsid w:val="007B152C"/>
    <w:rsid w:val="007B34DB"/>
    <w:rsid w:val="007B6FA3"/>
    <w:rsid w:val="007C42F2"/>
    <w:rsid w:val="007C76A8"/>
    <w:rsid w:val="007D1E72"/>
    <w:rsid w:val="007D3CE4"/>
    <w:rsid w:val="007D51B6"/>
    <w:rsid w:val="007E554B"/>
    <w:rsid w:val="007F2DDD"/>
    <w:rsid w:val="007F3EBA"/>
    <w:rsid w:val="007F4752"/>
    <w:rsid w:val="007F79F1"/>
    <w:rsid w:val="00801004"/>
    <w:rsid w:val="0080238D"/>
    <w:rsid w:val="00802CDB"/>
    <w:rsid w:val="00802E67"/>
    <w:rsid w:val="00810154"/>
    <w:rsid w:val="00810884"/>
    <w:rsid w:val="008163A2"/>
    <w:rsid w:val="00824C20"/>
    <w:rsid w:val="008272CB"/>
    <w:rsid w:val="00832EB1"/>
    <w:rsid w:val="00834D22"/>
    <w:rsid w:val="0083554D"/>
    <w:rsid w:val="00836ABB"/>
    <w:rsid w:val="0084230D"/>
    <w:rsid w:val="0084437B"/>
    <w:rsid w:val="00847BC5"/>
    <w:rsid w:val="0085203A"/>
    <w:rsid w:val="00856832"/>
    <w:rsid w:val="00861ADA"/>
    <w:rsid w:val="00865C0D"/>
    <w:rsid w:val="00875587"/>
    <w:rsid w:val="00884F5E"/>
    <w:rsid w:val="008906B2"/>
    <w:rsid w:val="008908D1"/>
    <w:rsid w:val="00893665"/>
    <w:rsid w:val="00893AEA"/>
    <w:rsid w:val="0089776A"/>
    <w:rsid w:val="008A0CD8"/>
    <w:rsid w:val="008B0696"/>
    <w:rsid w:val="008B0D6E"/>
    <w:rsid w:val="008B1C3E"/>
    <w:rsid w:val="008B20D8"/>
    <w:rsid w:val="008B288F"/>
    <w:rsid w:val="008B522C"/>
    <w:rsid w:val="008B608E"/>
    <w:rsid w:val="008B76CB"/>
    <w:rsid w:val="008C069F"/>
    <w:rsid w:val="008C1B02"/>
    <w:rsid w:val="008D4DE8"/>
    <w:rsid w:val="008D50F4"/>
    <w:rsid w:val="008E0D5C"/>
    <w:rsid w:val="008E1C88"/>
    <w:rsid w:val="008E1CE9"/>
    <w:rsid w:val="008E2916"/>
    <w:rsid w:val="008E3360"/>
    <w:rsid w:val="008E4219"/>
    <w:rsid w:val="008E5537"/>
    <w:rsid w:val="008F0CCF"/>
    <w:rsid w:val="008F1227"/>
    <w:rsid w:val="008F2E55"/>
    <w:rsid w:val="009002CD"/>
    <w:rsid w:val="00905B34"/>
    <w:rsid w:val="0091214D"/>
    <w:rsid w:val="009130D4"/>
    <w:rsid w:val="00914FEA"/>
    <w:rsid w:val="00917A2D"/>
    <w:rsid w:val="0092390A"/>
    <w:rsid w:val="00923A68"/>
    <w:rsid w:val="0093321A"/>
    <w:rsid w:val="009335AC"/>
    <w:rsid w:val="00944402"/>
    <w:rsid w:val="009453E6"/>
    <w:rsid w:val="009549F5"/>
    <w:rsid w:val="009626A9"/>
    <w:rsid w:val="009633D6"/>
    <w:rsid w:val="009634BB"/>
    <w:rsid w:val="00965513"/>
    <w:rsid w:val="00971565"/>
    <w:rsid w:val="00971623"/>
    <w:rsid w:val="009724B0"/>
    <w:rsid w:val="00974D4D"/>
    <w:rsid w:val="00976E77"/>
    <w:rsid w:val="009814EB"/>
    <w:rsid w:val="009821B2"/>
    <w:rsid w:val="00987425"/>
    <w:rsid w:val="009875C4"/>
    <w:rsid w:val="00990D23"/>
    <w:rsid w:val="00991CC2"/>
    <w:rsid w:val="00992125"/>
    <w:rsid w:val="009A6765"/>
    <w:rsid w:val="009B0C46"/>
    <w:rsid w:val="009B2B3B"/>
    <w:rsid w:val="009B677A"/>
    <w:rsid w:val="009C2D27"/>
    <w:rsid w:val="009C3761"/>
    <w:rsid w:val="009C5B72"/>
    <w:rsid w:val="009C5E6F"/>
    <w:rsid w:val="009C6644"/>
    <w:rsid w:val="009D2905"/>
    <w:rsid w:val="009D670C"/>
    <w:rsid w:val="009D6D48"/>
    <w:rsid w:val="009D7E08"/>
    <w:rsid w:val="009E11B5"/>
    <w:rsid w:val="009E186C"/>
    <w:rsid w:val="009E2FC7"/>
    <w:rsid w:val="009F1912"/>
    <w:rsid w:val="009F1CE8"/>
    <w:rsid w:val="00A05F09"/>
    <w:rsid w:val="00A14EE3"/>
    <w:rsid w:val="00A150FD"/>
    <w:rsid w:val="00A15DCE"/>
    <w:rsid w:val="00A162CE"/>
    <w:rsid w:val="00A1687F"/>
    <w:rsid w:val="00A20FDF"/>
    <w:rsid w:val="00A23A4A"/>
    <w:rsid w:val="00A302C7"/>
    <w:rsid w:val="00A356B4"/>
    <w:rsid w:val="00A35AB9"/>
    <w:rsid w:val="00A36A73"/>
    <w:rsid w:val="00A37823"/>
    <w:rsid w:val="00A40611"/>
    <w:rsid w:val="00A412CE"/>
    <w:rsid w:val="00A42390"/>
    <w:rsid w:val="00A43159"/>
    <w:rsid w:val="00A442B7"/>
    <w:rsid w:val="00A442F2"/>
    <w:rsid w:val="00A44CF0"/>
    <w:rsid w:val="00A46FE2"/>
    <w:rsid w:val="00A51A02"/>
    <w:rsid w:val="00A52744"/>
    <w:rsid w:val="00A52844"/>
    <w:rsid w:val="00A5790F"/>
    <w:rsid w:val="00A63C1B"/>
    <w:rsid w:val="00A63FDC"/>
    <w:rsid w:val="00A6519B"/>
    <w:rsid w:val="00A659D3"/>
    <w:rsid w:val="00A70204"/>
    <w:rsid w:val="00A7689F"/>
    <w:rsid w:val="00A76965"/>
    <w:rsid w:val="00A77464"/>
    <w:rsid w:val="00A77D4F"/>
    <w:rsid w:val="00A82AD3"/>
    <w:rsid w:val="00A8360C"/>
    <w:rsid w:val="00A83C98"/>
    <w:rsid w:val="00A86321"/>
    <w:rsid w:val="00A86DF4"/>
    <w:rsid w:val="00A87A42"/>
    <w:rsid w:val="00A87C8B"/>
    <w:rsid w:val="00A91A96"/>
    <w:rsid w:val="00A92785"/>
    <w:rsid w:val="00A92978"/>
    <w:rsid w:val="00A9394A"/>
    <w:rsid w:val="00A96A25"/>
    <w:rsid w:val="00AA3BCE"/>
    <w:rsid w:val="00AA63D0"/>
    <w:rsid w:val="00AA7BFF"/>
    <w:rsid w:val="00AB4530"/>
    <w:rsid w:val="00AB554E"/>
    <w:rsid w:val="00AB64AB"/>
    <w:rsid w:val="00AB6776"/>
    <w:rsid w:val="00AB7238"/>
    <w:rsid w:val="00AB729B"/>
    <w:rsid w:val="00AB77BF"/>
    <w:rsid w:val="00AC3B1D"/>
    <w:rsid w:val="00AD1CB3"/>
    <w:rsid w:val="00AD4806"/>
    <w:rsid w:val="00AD5025"/>
    <w:rsid w:val="00AE0993"/>
    <w:rsid w:val="00AE0AFD"/>
    <w:rsid w:val="00AE2E13"/>
    <w:rsid w:val="00AE30A9"/>
    <w:rsid w:val="00AE3302"/>
    <w:rsid w:val="00AE7ACF"/>
    <w:rsid w:val="00AF0DC8"/>
    <w:rsid w:val="00AF398F"/>
    <w:rsid w:val="00AF3CE5"/>
    <w:rsid w:val="00AF40A6"/>
    <w:rsid w:val="00AF7C70"/>
    <w:rsid w:val="00B00E71"/>
    <w:rsid w:val="00B00FBC"/>
    <w:rsid w:val="00B02079"/>
    <w:rsid w:val="00B027EB"/>
    <w:rsid w:val="00B0347D"/>
    <w:rsid w:val="00B1077B"/>
    <w:rsid w:val="00B112FE"/>
    <w:rsid w:val="00B11B95"/>
    <w:rsid w:val="00B15585"/>
    <w:rsid w:val="00B22C62"/>
    <w:rsid w:val="00B231DE"/>
    <w:rsid w:val="00B24A68"/>
    <w:rsid w:val="00B25A6B"/>
    <w:rsid w:val="00B2705B"/>
    <w:rsid w:val="00B347D2"/>
    <w:rsid w:val="00B37FD1"/>
    <w:rsid w:val="00B41AD7"/>
    <w:rsid w:val="00B509DF"/>
    <w:rsid w:val="00B50DF7"/>
    <w:rsid w:val="00B52374"/>
    <w:rsid w:val="00B52FD8"/>
    <w:rsid w:val="00B56482"/>
    <w:rsid w:val="00B5651B"/>
    <w:rsid w:val="00B57382"/>
    <w:rsid w:val="00B57386"/>
    <w:rsid w:val="00B64148"/>
    <w:rsid w:val="00B6734A"/>
    <w:rsid w:val="00B74617"/>
    <w:rsid w:val="00B7479B"/>
    <w:rsid w:val="00B74F8D"/>
    <w:rsid w:val="00B75CB1"/>
    <w:rsid w:val="00B8234E"/>
    <w:rsid w:val="00B83C9D"/>
    <w:rsid w:val="00B86354"/>
    <w:rsid w:val="00B87DD8"/>
    <w:rsid w:val="00B87F68"/>
    <w:rsid w:val="00B921E2"/>
    <w:rsid w:val="00B93F1F"/>
    <w:rsid w:val="00B951E2"/>
    <w:rsid w:val="00B9745E"/>
    <w:rsid w:val="00BA0769"/>
    <w:rsid w:val="00BA0F3F"/>
    <w:rsid w:val="00BA1EA5"/>
    <w:rsid w:val="00BA4DF8"/>
    <w:rsid w:val="00BA60D1"/>
    <w:rsid w:val="00BA632E"/>
    <w:rsid w:val="00BA75F8"/>
    <w:rsid w:val="00BB2E49"/>
    <w:rsid w:val="00BB7BF5"/>
    <w:rsid w:val="00BC0066"/>
    <w:rsid w:val="00BC1F0D"/>
    <w:rsid w:val="00BC2FF2"/>
    <w:rsid w:val="00BC3D41"/>
    <w:rsid w:val="00BC4B03"/>
    <w:rsid w:val="00BC5E5D"/>
    <w:rsid w:val="00BD071A"/>
    <w:rsid w:val="00BD0759"/>
    <w:rsid w:val="00BD31E3"/>
    <w:rsid w:val="00BD5DC4"/>
    <w:rsid w:val="00BD7977"/>
    <w:rsid w:val="00BE1816"/>
    <w:rsid w:val="00BE3E65"/>
    <w:rsid w:val="00BE66D7"/>
    <w:rsid w:val="00BF7359"/>
    <w:rsid w:val="00C00D42"/>
    <w:rsid w:val="00C02623"/>
    <w:rsid w:val="00C0263C"/>
    <w:rsid w:val="00C03367"/>
    <w:rsid w:val="00C03A60"/>
    <w:rsid w:val="00C07EB5"/>
    <w:rsid w:val="00C2019A"/>
    <w:rsid w:val="00C245DB"/>
    <w:rsid w:val="00C257DB"/>
    <w:rsid w:val="00C3031D"/>
    <w:rsid w:val="00C37436"/>
    <w:rsid w:val="00C41297"/>
    <w:rsid w:val="00C4288A"/>
    <w:rsid w:val="00C43EC9"/>
    <w:rsid w:val="00C602DB"/>
    <w:rsid w:val="00C626FE"/>
    <w:rsid w:val="00C7189F"/>
    <w:rsid w:val="00C73D96"/>
    <w:rsid w:val="00C74E31"/>
    <w:rsid w:val="00C7605F"/>
    <w:rsid w:val="00C84367"/>
    <w:rsid w:val="00C91E1F"/>
    <w:rsid w:val="00C92363"/>
    <w:rsid w:val="00C95E0F"/>
    <w:rsid w:val="00C96D67"/>
    <w:rsid w:val="00C97DA4"/>
    <w:rsid w:val="00CA1B37"/>
    <w:rsid w:val="00CA2B49"/>
    <w:rsid w:val="00CA3540"/>
    <w:rsid w:val="00CA5615"/>
    <w:rsid w:val="00CB290E"/>
    <w:rsid w:val="00CB3C87"/>
    <w:rsid w:val="00CB5700"/>
    <w:rsid w:val="00CB6957"/>
    <w:rsid w:val="00CB758B"/>
    <w:rsid w:val="00CB7BA2"/>
    <w:rsid w:val="00CC4379"/>
    <w:rsid w:val="00CC49E0"/>
    <w:rsid w:val="00CC4F5A"/>
    <w:rsid w:val="00CC6542"/>
    <w:rsid w:val="00CC6C6A"/>
    <w:rsid w:val="00CD383F"/>
    <w:rsid w:val="00CD4C33"/>
    <w:rsid w:val="00CE00F8"/>
    <w:rsid w:val="00CE2FCB"/>
    <w:rsid w:val="00CE4819"/>
    <w:rsid w:val="00CF1395"/>
    <w:rsid w:val="00CF234E"/>
    <w:rsid w:val="00CF3D7F"/>
    <w:rsid w:val="00CF43D2"/>
    <w:rsid w:val="00D000EB"/>
    <w:rsid w:val="00D00452"/>
    <w:rsid w:val="00D00EF6"/>
    <w:rsid w:val="00D036A8"/>
    <w:rsid w:val="00D129C5"/>
    <w:rsid w:val="00D210FC"/>
    <w:rsid w:val="00D25D79"/>
    <w:rsid w:val="00D35859"/>
    <w:rsid w:val="00D41886"/>
    <w:rsid w:val="00D42E46"/>
    <w:rsid w:val="00D43E2C"/>
    <w:rsid w:val="00D47CFF"/>
    <w:rsid w:val="00D506D3"/>
    <w:rsid w:val="00D5115F"/>
    <w:rsid w:val="00D51BE9"/>
    <w:rsid w:val="00D5298A"/>
    <w:rsid w:val="00D52EBB"/>
    <w:rsid w:val="00D54CAE"/>
    <w:rsid w:val="00D54E0D"/>
    <w:rsid w:val="00D56973"/>
    <w:rsid w:val="00D61F00"/>
    <w:rsid w:val="00D62E73"/>
    <w:rsid w:val="00D63316"/>
    <w:rsid w:val="00D661D7"/>
    <w:rsid w:val="00D71302"/>
    <w:rsid w:val="00D726E7"/>
    <w:rsid w:val="00D728F0"/>
    <w:rsid w:val="00D800E0"/>
    <w:rsid w:val="00D820F2"/>
    <w:rsid w:val="00D82243"/>
    <w:rsid w:val="00D85836"/>
    <w:rsid w:val="00D91C67"/>
    <w:rsid w:val="00D93D3E"/>
    <w:rsid w:val="00D9416E"/>
    <w:rsid w:val="00D9489E"/>
    <w:rsid w:val="00D95D28"/>
    <w:rsid w:val="00DA0FA2"/>
    <w:rsid w:val="00DA2505"/>
    <w:rsid w:val="00DA4872"/>
    <w:rsid w:val="00DA4CE3"/>
    <w:rsid w:val="00DA5AD6"/>
    <w:rsid w:val="00DB1131"/>
    <w:rsid w:val="00DB57BC"/>
    <w:rsid w:val="00DB6354"/>
    <w:rsid w:val="00DB691E"/>
    <w:rsid w:val="00DB6E28"/>
    <w:rsid w:val="00DC039A"/>
    <w:rsid w:val="00DC08ED"/>
    <w:rsid w:val="00DC1FBC"/>
    <w:rsid w:val="00DC2576"/>
    <w:rsid w:val="00DC2870"/>
    <w:rsid w:val="00DC49DE"/>
    <w:rsid w:val="00DC49EE"/>
    <w:rsid w:val="00DC52B3"/>
    <w:rsid w:val="00DC6871"/>
    <w:rsid w:val="00DD473E"/>
    <w:rsid w:val="00DD7474"/>
    <w:rsid w:val="00DE3E54"/>
    <w:rsid w:val="00DE45C5"/>
    <w:rsid w:val="00DE633C"/>
    <w:rsid w:val="00DF0E57"/>
    <w:rsid w:val="00DF0F1B"/>
    <w:rsid w:val="00DF565A"/>
    <w:rsid w:val="00E059CE"/>
    <w:rsid w:val="00E10739"/>
    <w:rsid w:val="00E144E7"/>
    <w:rsid w:val="00E1462F"/>
    <w:rsid w:val="00E167C9"/>
    <w:rsid w:val="00E21C7F"/>
    <w:rsid w:val="00E23D46"/>
    <w:rsid w:val="00E23E4E"/>
    <w:rsid w:val="00E23FAB"/>
    <w:rsid w:val="00E23FAF"/>
    <w:rsid w:val="00E252FC"/>
    <w:rsid w:val="00E27E71"/>
    <w:rsid w:val="00E30168"/>
    <w:rsid w:val="00E3232F"/>
    <w:rsid w:val="00E324C0"/>
    <w:rsid w:val="00E37A16"/>
    <w:rsid w:val="00E431D4"/>
    <w:rsid w:val="00E43D04"/>
    <w:rsid w:val="00E464BF"/>
    <w:rsid w:val="00E46900"/>
    <w:rsid w:val="00E50926"/>
    <w:rsid w:val="00E54E23"/>
    <w:rsid w:val="00E55638"/>
    <w:rsid w:val="00E65717"/>
    <w:rsid w:val="00E664E8"/>
    <w:rsid w:val="00E74FB0"/>
    <w:rsid w:val="00E84874"/>
    <w:rsid w:val="00E91EDB"/>
    <w:rsid w:val="00E921B0"/>
    <w:rsid w:val="00EA1952"/>
    <w:rsid w:val="00EA1F23"/>
    <w:rsid w:val="00EA211F"/>
    <w:rsid w:val="00EA3553"/>
    <w:rsid w:val="00EA4835"/>
    <w:rsid w:val="00EA5018"/>
    <w:rsid w:val="00EB1210"/>
    <w:rsid w:val="00EC3971"/>
    <w:rsid w:val="00EC4F75"/>
    <w:rsid w:val="00EC6BA3"/>
    <w:rsid w:val="00EC6C95"/>
    <w:rsid w:val="00EC6CDF"/>
    <w:rsid w:val="00EC7A95"/>
    <w:rsid w:val="00ED7828"/>
    <w:rsid w:val="00EE2F81"/>
    <w:rsid w:val="00EE4E9F"/>
    <w:rsid w:val="00EE5554"/>
    <w:rsid w:val="00EE5685"/>
    <w:rsid w:val="00EF2615"/>
    <w:rsid w:val="00EF60FC"/>
    <w:rsid w:val="00EF724C"/>
    <w:rsid w:val="00F00AF0"/>
    <w:rsid w:val="00F02B99"/>
    <w:rsid w:val="00F030AE"/>
    <w:rsid w:val="00F063C9"/>
    <w:rsid w:val="00F1125C"/>
    <w:rsid w:val="00F11820"/>
    <w:rsid w:val="00F123B8"/>
    <w:rsid w:val="00F140AE"/>
    <w:rsid w:val="00F17424"/>
    <w:rsid w:val="00F21AC5"/>
    <w:rsid w:val="00F23472"/>
    <w:rsid w:val="00F26A3F"/>
    <w:rsid w:val="00F3317F"/>
    <w:rsid w:val="00F33FED"/>
    <w:rsid w:val="00F3517E"/>
    <w:rsid w:val="00F44D86"/>
    <w:rsid w:val="00F50FD9"/>
    <w:rsid w:val="00F51D39"/>
    <w:rsid w:val="00F63DD1"/>
    <w:rsid w:val="00F669AE"/>
    <w:rsid w:val="00F7293A"/>
    <w:rsid w:val="00F75A40"/>
    <w:rsid w:val="00F833AE"/>
    <w:rsid w:val="00F85C2B"/>
    <w:rsid w:val="00F870F7"/>
    <w:rsid w:val="00F90B18"/>
    <w:rsid w:val="00F912C1"/>
    <w:rsid w:val="00F928B2"/>
    <w:rsid w:val="00F92A6F"/>
    <w:rsid w:val="00F93001"/>
    <w:rsid w:val="00F93987"/>
    <w:rsid w:val="00F97D8A"/>
    <w:rsid w:val="00FA04A5"/>
    <w:rsid w:val="00FB08D1"/>
    <w:rsid w:val="00FB0A3B"/>
    <w:rsid w:val="00FB4B5A"/>
    <w:rsid w:val="00FB5CA7"/>
    <w:rsid w:val="00FC1FD2"/>
    <w:rsid w:val="00FC3118"/>
    <w:rsid w:val="00FC37DB"/>
    <w:rsid w:val="00FC640D"/>
    <w:rsid w:val="00FC6FDD"/>
    <w:rsid w:val="00FC7817"/>
    <w:rsid w:val="00FD270D"/>
    <w:rsid w:val="00FE09A5"/>
    <w:rsid w:val="00FE3182"/>
    <w:rsid w:val="00FF0EAC"/>
    <w:rsid w:val="00FF4D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6FF8A7-7073-4CB4-8B0C-7BF6267C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s-ES" w:eastAsia="en-US"/>
    </w:rPr>
  </w:style>
  <w:style w:type="paragraph" w:styleId="Ttulo3">
    <w:name w:val="heading 3"/>
    <w:basedOn w:val="Normal"/>
    <w:link w:val="Ttulo3Car"/>
    <w:uiPriority w:val="9"/>
    <w:qFormat/>
    <w:pPr>
      <w:keepNext/>
      <w:keepLines/>
      <w:spacing w:before="200" w:after="0"/>
      <w:outlineLvl w:val="2"/>
    </w:pPr>
    <w:rPr>
      <w:rFonts w:ascii="Cambria" w:hAnsi="Cambria"/>
      <w:b/>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Pr>
      <w:rFonts w:ascii="Cambria" w:eastAsia="Times New Roman" w:hAnsi="Cambria" w:cs="Times New Roman"/>
      <w:b/>
      <w:color w:val="4F81BD"/>
    </w:rPr>
  </w:style>
  <w:style w:type="table" w:customStyle="1" w:styleId="Listaclara1">
    <w:name w:val="Lista clara1"/>
    <w:basedOn w:val="Tablanormal"/>
    <w:uiPriority w:val="61"/>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color w:val="FFFFFF"/>
      </w:rPr>
      <w:tblPr/>
      <w:tcPr>
        <w:shd w:val="clear" w:color="auto" w:fill="000000"/>
        <w:vAlign w:val="top"/>
      </w:tcPr>
    </w:tblStylePr>
    <w:tblStylePr w:type="lastRow">
      <w:pPr>
        <w:spacing w:before="0" w:after="0"/>
      </w:pPr>
      <w:rPr>
        <w:rFonts w:cs="Times New Roman"/>
        <w:b/>
      </w:rPr>
      <w:tblPr/>
      <w:tcPr>
        <w:tcBorders>
          <w:top w:val="double" w:sz="6" w:space="0" w:color="000000"/>
          <w:left w:val="single" w:sz="8" w:space="0" w:color="000000"/>
          <w:bottom w:val="single" w:sz="8" w:space="0" w:color="000000"/>
          <w:right w:val="single" w:sz="8" w:space="0" w:color="000000"/>
        </w:tcBorders>
        <w:vAlign w:val="top"/>
      </w:tcPr>
    </w:tblStylePr>
    <w:tblStylePr w:type="firstCol">
      <w:rPr>
        <w:rFonts w:cs="Times New Roman"/>
        <w:b/>
      </w:rPr>
    </w:tblStylePr>
    <w:tblStylePr w:type="lastCol">
      <w:rPr>
        <w:rFonts w:cs="Times New Roman"/>
        <w:b/>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vAlign w:val="top"/>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vAlign w:val="top"/>
      </w:tcPr>
    </w:tblStyle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link w:val="Textodeglobo"/>
    <w:uiPriority w:val="99"/>
    <w:rPr>
      <w:rFonts w:ascii="Tahoma" w:hAnsi="Tahoma" w:cs="Tahoma"/>
      <w:sz w:val="16"/>
      <w:szCs w:val="16"/>
    </w:r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link w:val="Encabezado"/>
    <w:uiPriority w:val="99"/>
    <w:rPr>
      <w:rFonts w:cs="Times New Roman"/>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link w:val="Piedepgina"/>
    <w:uiPriority w:val="99"/>
    <w:rPr>
      <w:rFonts w:cs="Times New Roman"/>
    </w:rPr>
  </w:style>
  <w:style w:type="table" w:styleId="Tablaconcuadrcula">
    <w:name w:val="Table Grid"/>
    <w:basedOn w:val="Tab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pPr>
      <w:spacing w:after="0" w:line="240" w:lineRule="auto"/>
      <w:jc w:val="center"/>
    </w:pPr>
    <w:rPr>
      <w:rFonts w:ascii="Arial Narrow" w:hAnsi="Arial Narrow"/>
      <w:color w:val="000080"/>
      <w:sz w:val="20"/>
      <w:szCs w:val="32"/>
      <w:lang w:val="es-MX" w:eastAsia="es-ES"/>
    </w:rPr>
  </w:style>
  <w:style w:type="character" w:customStyle="1" w:styleId="Textoindependiente2Car">
    <w:name w:val="Texto independiente 2 Car"/>
    <w:link w:val="Textoindependiente2"/>
    <w:uiPriority w:val="99"/>
    <w:rPr>
      <w:rFonts w:ascii="Arial Narrow" w:hAnsi="Arial Narrow" w:cs="Times New Roman"/>
      <w:color w:val="000080"/>
      <w:sz w:val="32"/>
      <w:szCs w:val="32"/>
      <w:lang w:val="es-MX" w:eastAsia="es-ES"/>
    </w:rPr>
  </w:style>
  <w:style w:type="character" w:styleId="Hipervnculo">
    <w:name w:val="Hyperlink"/>
    <w:uiPriority w:val="99"/>
    <w:rPr>
      <w:rFonts w:cs="Times New Roman"/>
      <w:color w:val="0000FF"/>
      <w:u w:val="single"/>
    </w:rPr>
  </w:style>
  <w:style w:type="character" w:customStyle="1" w:styleId="estilo16">
    <w:name w:val="estilo16"/>
    <w:rPr>
      <w:rFonts w:cs="Times New Roman"/>
    </w:rPr>
  </w:style>
  <w:style w:type="paragraph" w:styleId="Textonotapie">
    <w:name w:val="footnote text"/>
    <w:aliases w:val="FN,Footnote Text Char Char Char Char Char,Footnote Text Char Char Char Char,Footnote reference,FA Fu,texto de nota al pie,Footnote Text Char Char Char,Footnote Text Char,Footnote Text Char Char Char Char Char Char Char Cha,Footnote Text"/>
    <w:basedOn w:val="Normal"/>
    <w:link w:val="TextonotapieCar1"/>
    <w:qFormat/>
    <w:pPr>
      <w:spacing w:after="0" w:line="240" w:lineRule="auto"/>
    </w:pPr>
    <w:rPr>
      <w:rFonts w:ascii="Arial Narrow" w:hAnsi="Arial Narrow" w:cs="Arial Narrow"/>
      <w:sz w:val="20"/>
      <w:szCs w:val="20"/>
      <w:lang w:eastAsia="es-ES"/>
    </w:rPr>
  </w:style>
  <w:style w:type="character" w:customStyle="1" w:styleId="TextonotapieCar">
    <w:name w:val="Texto nota pie Car"/>
    <w:aliases w:val="FN Car,Footnote Text Char Char Char Char Char Car,Footnote Text Char Char Char Char Car,Footnote reference Car,FA Fu Car,texto de nota al pie Car,Footnote Text Char Char Char Car,Footnote Text Char Car,Footnote Text Car"/>
    <w:rPr>
      <w:rFonts w:cs="Times New Roman"/>
      <w:lang w:val="es-ES" w:eastAsia="en-US"/>
    </w:rPr>
  </w:style>
  <w:style w:type="character" w:customStyle="1" w:styleId="TextonotapieCar1">
    <w:name w:val="Texto nota pie Car1"/>
    <w:aliases w:val="FN Car1,Footnote Text Char Char Char Char Char Car1,Footnote Text Char Char Char Char Car1,Footnote reference Car1,FA Fu Car1,texto de nota al pie Car1,Footnote Text Char Char Char Car1,Footnote Text Char Car1,Footnote Text Car1"/>
    <w:link w:val="Textonotapie"/>
    <w:rPr>
      <w:rFonts w:ascii="Arial Narrow" w:hAnsi="Arial Narrow" w:cs="Arial Narrow"/>
      <w:lang w:val="es-ES" w:eastAsia="es-ES"/>
    </w:rPr>
  </w:style>
  <w:style w:type="character" w:styleId="Refdenotaalpie">
    <w:name w:val="footnote reference"/>
    <w:aliases w:val="Texto de nota al pie,referencia nota al pie,Appel note de bas de page,Footnotes refss,Footnote number,BVI fnr,f"/>
    <w:rPr>
      <w:vertAlign w:val="superscript"/>
    </w:rPr>
  </w:style>
  <w:style w:type="paragraph" w:styleId="NormalWeb">
    <w:name w:val="Normal (Web)"/>
    <w:basedOn w:val="Normal"/>
    <w:uiPriority w:val="99"/>
    <w:rPr>
      <w:rFonts w:ascii="Times New Roman" w:hAnsi="Times New Roman"/>
      <w:sz w:val="24"/>
      <w:szCs w:val="24"/>
    </w:rPr>
  </w:style>
  <w:style w:type="paragraph" w:styleId="Prrafodelista">
    <w:name w:val="List Paragraph"/>
    <w:basedOn w:val="Normal"/>
    <w:link w:val="PrrafodelistaCar"/>
    <w:uiPriority w:val="34"/>
    <w:qFormat/>
    <w:pPr>
      <w:ind w:left="708"/>
    </w:pPr>
  </w:style>
  <w:style w:type="paragraph" w:styleId="Sinespaciado">
    <w:name w:val="No Spacing"/>
    <w:uiPriority w:val="1"/>
    <w:qFormat/>
    <w:rPr>
      <w:rFonts w:cs="Times New Roman"/>
      <w:sz w:val="22"/>
      <w:szCs w:val="22"/>
      <w:lang w:val="es-ES" w:eastAsia="en-US"/>
    </w:rPr>
  </w:style>
  <w:style w:type="character" w:customStyle="1" w:styleId="apple-converted-space">
    <w:name w:val="apple-converted-space"/>
    <w:basedOn w:val="Fuentedeprrafopredeter"/>
    <w:rsid w:val="00516D3C"/>
  </w:style>
  <w:style w:type="paragraph" w:customStyle="1" w:styleId="xmsonormal">
    <w:name w:val="x_msonormal"/>
    <w:basedOn w:val="Normal"/>
    <w:rsid w:val="00516D3C"/>
    <w:pPr>
      <w:spacing w:before="100" w:beforeAutospacing="1" w:after="100" w:afterAutospacing="1" w:line="240" w:lineRule="auto"/>
    </w:pPr>
    <w:rPr>
      <w:rFonts w:ascii="Times New Roman" w:hAnsi="Times New Roman"/>
      <w:sz w:val="24"/>
      <w:szCs w:val="24"/>
      <w:lang w:val="es-CO" w:eastAsia="es-CO"/>
    </w:rPr>
  </w:style>
  <w:style w:type="paragraph" w:customStyle="1" w:styleId="q">
    <w:name w:val="q"/>
    <w:basedOn w:val="Normal"/>
    <w:rsid w:val="006159C8"/>
    <w:pPr>
      <w:spacing w:before="100" w:beforeAutospacing="1" w:after="100" w:afterAutospacing="1" w:line="240" w:lineRule="auto"/>
    </w:pPr>
    <w:rPr>
      <w:rFonts w:ascii="Times New Roman" w:hAnsi="Times New Roman"/>
      <w:sz w:val="24"/>
      <w:szCs w:val="24"/>
      <w:lang w:val="es-CO" w:eastAsia="es-CO"/>
    </w:rPr>
  </w:style>
  <w:style w:type="character" w:customStyle="1" w:styleId="g">
    <w:name w:val="g"/>
    <w:basedOn w:val="Fuentedeprrafopredeter"/>
    <w:rsid w:val="00DC1FBC"/>
  </w:style>
  <w:style w:type="character" w:styleId="Textoennegrita">
    <w:name w:val="Strong"/>
    <w:basedOn w:val="Fuentedeprrafopredeter"/>
    <w:uiPriority w:val="22"/>
    <w:qFormat/>
    <w:rsid w:val="00D35859"/>
    <w:rPr>
      <w:b/>
      <w:bCs/>
    </w:rPr>
  </w:style>
  <w:style w:type="character" w:styleId="nfasis">
    <w:name w:val="Emphasis"/>
    <w:basedOn w:val="Fuentedeprrafopredeter"/>
    <w:uiPriority w:val="20"/>
    <w:qFormat/>
    <w:rsid w:val="00D35859"/>
    <w:rPr>
      <w:i/>
      <w:iCs/>
    </w:rPr>
  </w:style>
  <w:style w:type="paragraph" w:customStyle="1" w:styleId="Default">
    <w:name w:val="Default"/>
    <w:rsid w:val="00D35859"/>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link w:val="Prrafodelista"/>
    <w:uiPriority w:val="34"/>
    <w:rsid w:val="006D3A28"/>
    <w:rPr>
      <w:rFonts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0455">
      <w:bodyDiv w:val="1"/>
      <w:marLeft w:val="0"/>
      <w:marRight w:val="0"/>
      <w:marTop w:val="0"/>
      <w:marBottom w:val="0"/>
      <w:divBdr>
        <w:top w:val="none" w:sz="0" w:space="0" w:color="auto"/>
        <w:left w:val="none" w:sz="0" w:space="0" w:color="auto"/>
        <w:bottom w:val="none" w:sz="0" w:space="0" w:color="auto"/>
        <w:right w:val="none" w:sz="0" w:space="0" w:color="auto"/>
      </w:divBdr>
    </w:div>
    <w:div w:id="216820597">
      <w:bodyDiv w:val="1"/>
      <w:marLeft w:val="0"/>
      <w:marRight w:val="0"/>
      <w:marTop w:val="0"/>
      <w:marBottom w:val="0"/>
      <w:divBdr>
        <w:top w:val="none" w:sz="0" w:space="0" w:color="auto"/>
        <w:left w:val="none" w:sz="0" w:space="0" w:color="auto"/>
        <w:bottom w:val="none" w:sz="0" w:space="0" w:color="auto"/>
        <w:right w:val="none" w:sz="0" w:space="0" w:color="auto"/>
      </w:divBdr>
    </w:div>
    <w:div w:id="1017657432">
      <w:bodyDiv w:val="1"/>
      <w:marLeft w:val="0"/>
      <w:marRight w:val="0"/>
      <w:marTop w:val="0"/>
      <w:marBottom w:val="0"/>
      <w:divBdr>
        <w:top w:val="none" w:sz="0" w:space="0" w:color="auto"/>
        <w:left w:val="none" w:sz="0" w:space="0" w:color="auto"/>
        <w:bottom w:val="none" w:sz="0" w:space="0" w:color="auto"/>
        <w:right w:val="none" w:sz="0" w:space="0" w:color="auto"/>
      </w:divBdr>
    </w:div>
    <w:div w:id="1113355878">
      <w:bodyDiv w:val="1"/>
      <w:marLeft w:val="0"/>
      <w:marRight w:val="0"/>
      <w:marTop w:val="0"/>
      <w:marBottom w:val="0"/>
      <w:divBdr>
        <w:top w:val="none" w:sz="0" w:space="0" w:color="auto"/>
        <w:left w:val="none" w:sz="0" w:space="0" w:color="auto"/>
        <w:bottom w:val="none" w:sz="0" w:space="0" w:color="auto"/>
        <w:right w:val="none" w:sz="0" w:space="0" w:color="auto"/>
      </w:divBdr>
    </w:div>
    <w:div w:id="1588925798">
      <w:bodyDiv w:val="1"/>
      <w:marLeft w:val="0"/>
      <w:marRight w:val="0"/>
      <w:marTop w:val="0"/>
      <w:marBottom w:val="0"/>
      <w:divBdr>
        <w:top w:val="none" w:sz="0" w:space="0" w:color="auto"/>
        <w:left w:val="none" w:sz="0" w:space="0" w:color="auto"/>
        <w:bottom w:val="none" w:sz="0" w:space="0" w:color="auto"/>
        <w:right w:val="none" w:sz="0" w:space="0" w:color="auto"/>
      </w:divBdr>
    </w:div>
    <w:div w:id="1607038397">
      <w:bodyDiv w:val="1"/>
      <w:marLeft w:val="0"/>
      <w:marRight w:val="0"/>
      <w:marTop w:val="0"/>
      <w:marBottom w:val="0"/>
      <w:divBdr>
        <w:top w:val="none" w:sz="0" w:space="0" w:color="auto"/>
        <w:left w:val="none" w:sz="0" w:space="0" w:color="auto"/>
        <w:bottom w:val="none" w:sz="0" w:space="0" w:color="auto"/>
        <w:right w:val="none" w:sz="0" w:space="0" w:color="auto"/>
      </w:divBdr>
    </w:div>
    <w:div w:id="1864853533">
      <w:bodyDiv w:val="1"/>
      <w:marLeft w:val="0"/>
      <w:marRight w:val="0"/>
      <w:marTop w:val="0"/>
      <w:marBottom w:val="0"/>
      <w:divBdr>
        <w:top w:val="none" w:sz="0" w:space="0" w:color="auto"/>
        <w:left w:val="none" w:sz="0" w:space="0" w:color="auto"/>
        <w:bottom w:val="none" w:sz="0" w:space="0" w:color="auto"/>
        <w:right w:val="none" w:sz="0" w:space="0" w:color="auto"/>
      </w:divBdr>
    </w:div>
    <w:div w:id="20000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EE9B-565B-4859-9596-21C744C4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8695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rrrr</dc:subject>
  <dc:creator>hmurillo</dc:creator>
  <cp:lastModifiedBy>Diana Carolina Pineda Carrillo</cp:lastModifiedBy>
  <cp:revision>2</cp:revision>
  <cp:lastPrinted>2016-06-14T15:37:00Z</cp:lastPrinted>
  <dcterms:created xsi:type="dcterms:W3CDTF">2018-07-30T22:08:00Z</dcterms:created>
  <dcterms:modified xsi:type="dcterms:W3CDTF">2018-07-30T22:08:00Z</dcterms:modified>
</cp:coreProperties>
</file>