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31" w:rsidRPr="00B4556C" w:rsidRDefault="00B4556C" w:rsidP="00B4556C">
      <w:pPr>
        <w:pStyle w:val="Descripcin"/>
      </w:pPr>
      <w:bookmarkStart w:id="0" w:name="_GoBack"/>
      <w:bookmarkEnd w:id="0"/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-1245235</wp:posOffset>
            </wp:positionV>
            <wp:extent cx="7757160" cy="10050145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da-Informe-1sem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1E6">
        <w:rPr>
          <w:noProof/>
          <w:lang w:val="es-CO" w:eastAsia="es-CO"/>
        </w:rPr>
        <w:drawing>
          <wp:anchor distT="0" distB="0" distL="114300" distR="114300" simplePos="0" relativeHeight="251657728" behindDoc="0" locked="0" layoutInCell="1" allowOverlap="1" wp14:anchorId="50C87638" wp14:editId="356C1D6C">
            <wp:simplePos x="0" y="0"/>
            <wp:positionH relativeFrom="column">
              <wp:posOffset>2106626</wp:posOffset>
            </wp:positionH>
            <wp:positionV relativeFrom="paragraph">
              <wp:posOffset>-111760</wp:posOffset>
            </wp:positionV>
            <wp:extent cx="1320165" cy="1175385"/>
            <wp:effectExtent l="0" t="0" r="0" b="5715"/>
            <wp:wrapNone/>
            <wp:docPr id="10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B31" w:rsidRPr="00490489">
        <w:rPr>
          <w:rFonts w:ascii="Arial Narrow" w:hAnsi="Arial Narrow" w:cs="Arial"/>
        </w:rPr>
        <w:br w:type="page"/>
      </w:r>
    </w:p>
    <w:p w:rsidR="00DC01E6" w:rsidRDefault="00DC01E6" w:rsidP="00437217">
      <w:pPr>
        <w:jc w:val="center"/>
        <w:rPr>
          <w:rFonts w:ascii="Arial" w:hAnsi="Arial" w:cs="Arial"/>
          <w:b/>
          <w:sz w:val="22"/>
        </w:rPr>
      </w:pPr>
      <w:bookmarkStart w:id="1" w:name="_Toc201052404"/>
      <w:bookmarkStart w:id="2" w:name="_Toc207619144"/>
      <w:bookmarkStart w:id="3" w:name="_Toc208620247"/>
      <w:bookmarkStart w:id="4" w:name="_Toc208936067"/>
      <w:bookmarkStart w:id="5" w:name="_Toc208936241"/>
      <w:bookmarkStart w:id="6" w:name="_Toc208936333"/>
      <w:bookmarkStart w:id="7" w:name="_Toc208936377"/>
      <w:bookmarkStart w:id="8" w:name="_Toc209150982"/>
      <w:bookmarkStart w:id="9" w:name="_Toc210206803"/>
      <w:bookmarkStart w:id="10" w:name="_Toc413319431"/>
    </w:p>
    <w:p w:rsidR="00DC01E6" w:rsidRDefault="00DC01E6" w:rsidP="00437217">
      <w:pPr>
        <w:jc w:val="center"/>
        <w:rPr>
          <w:rFonts w:ascii="Arial" w:hAnsi="Arial" w:cs="Arial"/>
          <w:b/>
          <w:sz w:val="22"/>
        </w:rPr>
      </w:pPr>
    </w:p>
    <w:p w:rsidR="00437217" w:rsidRPr="00DC01E6" w:rsidRDefault="00437217" w:rsidP="00437217">
      <w:pPr>
        <w:jc w:val="center"/>
        <w:rPr>
          <w:rFonts w:ascii="Arial" w:hAnsi="Arial" w:cs="Arial"/>
          <w:b/>
          <w:sz w:val="20"/>
        </w:rPr>
      </w:pPr>
      <w:r w:rsidRPr="00DC01E6">
        <w:rPr>
          <w:rFonts w:ascii="Arial" w:hAnsi="Arial" w:cs="Arial"/>
          <w:b/>
          <w:sz w:val="20"/>
        </w:rPr>
        <w:t>TABLA DE CONTENIDO</w:t>
      </w:r>
    </w:p>
    <w:p w:rsidR="00437217" w:rsidRDefault="00437217" w:rsidP="00437217">
      <w:pPr>
        <w:jc w:val="center"/>
        <w:rPr>
          <w:rFonts w:ascii="Arial" w:hAnsi="Arial" w:cs="Arial"/>
          <w:b/>
        </w:rPr>
      </w:pPr>
    </w:p>
    <w:p w:rsidR="00131B18" w:rsidRDefault="00131B18" w:rsidP="00437217">
      <w:pPr>
        <w:jc w:val="center"/>
        <w:rPr>
          <w:rFonts w:ascii="Arial" w:hAnsi="Arial" w:cs="Arial"/>
          <w:b/>
        </w:rPr>
      </w:pPr>
    </w:p>
    <w:p w:rsidR="007D64E2" w:rsidRDefault="00443482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7B787C">
        <w:rPr>
          <w:rFonts w:cs="Arial"/>
          <w:b/>
          <w:sz w:val="19"/>
          <w:szCs w:val="19"/>
        </w:rPr>
        <w:fldChar w:fldCharType="begin"/>
      </w:r>
      <w:r w:rsidRPr="007B787C">
        <w:rPr>
          <w:rFonts w:cs="Arial"/>
          <w:b/>
          <w:sz w:val="19"/>
          <w:szCs w:val="19"/>
        </w:rPr>
        <w:instrText xml:space="preserve"> TOC \o "1-1" \h \z \u </w:instrText>
      </w:r>
      <w:r w:rsidRPr="007B787C">
        <w:rPr>
          <w:rFonts w:cs="Arial"/>
          <w:b/>
          <w:sz w:val="19"/>
          <w:szCs w:val="19"/>
        </w:rPr>
        <w:fldChar w:fldCharType="separate"/>
      </w:r>
      <w:hyperlink w:anchor="_Toc491786996" w:history="1">
        <w:r w:rsidR="007D64E2" w:rsidRPr="00B34B09">
          <w:rPr>
            <w:rStyle w:val="Hipervnculo"/>
            <w:noProof/>
          </w:rPr>
          <w:t>1.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Introducción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_Toc491786996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3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6997" w:history="1">
        <w:r w:rsidR="007D64E2" w:rsidRPr="00B34B09">
          <w:rPr>
            <w:rStyle w:val="Hipervnculo"/>
            <w:noProof/>
          </w:rPr>
          <w:t>2.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Definiciones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_Toc491786997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4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6998" w:history="1">
        <w:r w:rsidR="007D64E2" w:rsidRPr="00B34B09">
          <w:rPr>
            <w:rStyle w:val="Hipervnculo"/>
            <w:noProof/>
          </w:rPr>
          <w:t>3.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Resultado de la Consolidación de los Datos del Semestre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_Toc491786998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5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6999" w:history="1">
        <w:r w:rsidR="007D64E2" w:rsidRPr="00B34B09">
          <w:rPr>
            <w:rStyle w:val="Hipervnculo"/>
            <w:noProof/>
          </w:rPr>
          <w:t>3.1.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Resumen General del Sistema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_Toc491786999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5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0" w:history="1">
        <w:r w:rsidR="007D64E2" w:rsidRPr="00B34B09">
          <w:rPr>
            <w:rStyle w:val="Hipervnculo"/>
            <w:noProof/>
          </w:rPr>
          <w:t>3.2.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Resumen General por Canal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_Toc491787000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5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1" w:history="1">
        <w:r w:rsidR="007D64E2" w:rsidRPr="00B34B09">
          <w:rPr>
            <w:rStyle w:val="Hipervnculo"/>
            <w:noProof/>
          </w:rPr>
          <w:t>4.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Comparativo Semestral por Tipo de Canal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_Toc491787001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6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2" w:history="1">
        <w:r w:rsidR="007D64E2" w:rsidRPr="00B34B09">
          <w:rPr>
            <w:rStyle w:val="Hipervnculo"/>
            <w:noProof/>
          </w:rPr>
          <w:t>4.1.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Comparativo Semestral Número de Operaciones (monetarias y no monetarias)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_Toc491787002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6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3" w:history="1">
        <w:r w:rsidR="007D64E2" w:rsidRPr="00B34B09">
          <w:rPr>
            <w:rStyle w:val="Hipervnculo"/>
            <w:noProof/>
          </w:rPr>
          <w:t>4.2.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Comparativo Semestral Número de Operaciones Monetarias por Canal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_Toc491787003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7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4" w:history="1">
        <w:r w:rsidR="007D64E2" w:rsidRPr="00B34B09">
          <w:rPr>
            <w:rStyle w:val="Hipervnculo"/>
            <w:noProof/>
          </w:rPr>
          <w:t>4.3.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Comparativo Semestral Número de Operaciones no Monetarias por Canal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_Toc491787004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9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5" w:history="1">
        <w:r w:rsidR="007D64E2" w:rsidRPr="00B34B09">
          <w:rPr>
            <w:rStyle w:val="Hipervnculo"/>
            <w:noProof/>
          </w:rPr>
          <w:t>4.4.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Comparativo Semestral Monto de Operaciones por Canal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_Toc491787005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10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6" w:history="1">
        <w:r w:rsidR="007D64E2" w:rsidRPr="00B34B09">
          <w:rPr>
            <w:rStyle w:val="Hipervnculo"/>
            <w:noProof/>
          </w:rPr>
          <w:t>5.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Entidades con Mayor Volumen de Operaciones en el Primer Semestre de 2017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_Toc491787006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12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7" w:history="1">
        <w:r w:rsidR="007D64E2" w:rsidRPr="00B34B09">
          <w:rPr>
            <w:rStyle w:val="Hipervnculo"/>
            <w:noProof/>
          </w:rPr>
          <w:t>6.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Resumen por Tipo de Canal en el Primer Semestre de 2017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_Toc491787007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13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8" w:history="1">
        <w:r w:rsidR="007D64E2" w:rsidRPr="00B34B09">
          <w:rPr>
            <w:rStyle w:val="Hipervnculo"/>
            <w:noProof/>
          </w:rPr>
          <w:t>6.1.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Oficinas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_Toc491787008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13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09" w:history="1">
        <w:r w:rsidR="007D64E2" w:rsidRPr="00B34B09">
          <w:rPr>
            <w:rStyle w:val="Hipervnculo"/>
            <w:noProof/>
          </w:rPr>
          <w:t>6.2.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Cajeros Automáticos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_Toc491787009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14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0" w:history="1">
        <w:r w:rsidR="007D64E2" w:rsidRPr="00B34B09">
          <w:rPr>
            <w:rStyle w:val="Hipervnculo"/>
            <w:noProof/>
          </w:rPr>
          <w:t>6.3.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Datáfonos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_Toc491787010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15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1" w:history="1">
        <w:r w:rsidR="007D64E2" w:rsidRPr="00B34B09">
          <w:rPr>
            <w:rStyle w:val="Hipervnculo"/>
            <w:noProof/>
          </w:rPr>
          <w:t>6.4.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Corresponsales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_Toc491787011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17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2" w:history="1">
        <w:r w:rsidR="007D64E2" w:rsidRPr="00B34B09">
          <w:rPr>
            <w:rStyle w:val="Hipervnculo"/>
            <w:noProof/>
          </w:rPr>
          <w:t>6.5.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Audio Respuesta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_Toc491787012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17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3" w:history="1">
        <w:r w:rsidR="007D64E2" w:rsidRPr="00B34B09">
          <w:rPr>
            <w:rStyle w:val="Hipervnculo"/>
            <w:noProof/>
          </w:rPr>
          <w:t>6.6.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Internet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_Toc491787013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18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4" w:history="1">
        <w:r w:rsidR="007D64E2" w:rsidRPr="00B34B09">
          <w:rPr>
            <w:rStyle w:val="Hipervnculo"/>
            <w:noProof/>
          </w:rPr>
          <w:t>6.7.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Telefonía Móvil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_Toc491787014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19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5" w:history="1">
        <w:r w:rsidR="007D64E2" w:rsidRPr="00B34B09">
          <w:rPr>
            <w:rStyle w:val="Hipervnculo"/>
            <w:noProof/>
          </w:rPr>
          <w:t>6.8.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ACH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_Toc491787015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20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6" w:history="1">
        <w:r w:rsidR="007D64E2" w:rsidRPr="00B34B09">
          <w:rPr>
            <w:rStyle w:val="Hipervnculo"/>
            <w:noProof/>
          </w:rPr>
          <w:t>6.9.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Canal Débito Automático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_Toc491787016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21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7" w:history="1">
        <w:r w:rsidR="007D64E2" w:rsidRPr="00B34B09">
          <w:rPr>
            <w:rStyle w:val="Hipervnculo"/>
            <w:noProof/>
          </w:rPr>
          <w:t>7.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Resumen por Tipo de Entidad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_Toc491787017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22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8" w:history="1">
        <w:r w:rsidR="007D64E2" w:rsidRPr="00B34B09">
          <w:rPr>
            <w:rStyle w:val="Hipervnculo"/>
            <w:noProof/>
          </w:rPr>
          <w:t>7.1.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Establecimientos Bancarios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_Toc491787018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22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19" w:history="1">
        <w:r w:rsidR="007D64E2" w:rsidRPr="00B34B09">
          <w:rPr>
            <w:rStyle w:val="Hipervnculo"/>
            <w:noProof/>
          </w:rPr>
          <w:t>7.2.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Compañías de Financiamiento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_Toc491787019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24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20" w:history="1">
        <w:r w:rsidR="007D64E2" w:rsidRPr="00B34B09">
          <w:rPr>
            <w:rStyle w:val="Hipervnculo"/>
            <w:noProof/>
          </w:rPr>
          <w:t>7.3.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Cooperativas Financieras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_Toc491787020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25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21" w:history="1">
        <w:r w:rsidR="007D64E2" w:rsidRPr="00B34B09">
          <w:rPr>
            <w:rStyle w:val="Hipervnculo"/>
            <w:noProof/>
          </w:rPr>
          <w:t>7.4.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Administradoras de Sistemas de Pago de Bajo Valor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_Toc491787021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26</w:t>
        </w:r>
        <w:r w:rsidR="007D64E2">
          <w:rPr>
            <w:noProof/>
            <w:webHidden/>
          </w:rPr>
          <w:fldChar w:fldCharType="end"/>
        </w:r>
      </w:hyperlink>
    </w:p>
    <w:p w:rsidR="007D64E2" w:rsidRDefault="00C17F95">
      <w:pPr>
        <w:pStyle w:val="TD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491787022" w:history="1">
        <w:r w:rsidR="007D64E2" w:rsidRPr="00B34B09">
          <w:rPr>
            <w:rStyle w:val="Hipervnculo"/>
            <w:noProof/>
          </w:rPr>
          <w:t>7.5.</w:t>
        </w:r>
        <w:r w:rsidR="007D64E2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s-CO" w:eastAsia="es-CO"/>
          </w:rPr>
          <w:tab/>
        </w:r>
        <w:r w:rsidR="007D64E2" w:rsidRPr="00B34B09">
          <w:rPr>
            <w:rStyle w:val="Hipervnculo"/>
            <w:noProof/>
          </w:rPr>
          <w:t>Banco de la República</w:t>
        </w:r>
        <w:r w:rsidR="007D64E2">
          <w:rPr>
            <w:noProof/>
            <w:webHidden/>
          </w:rPr>
          <w:tab/>
        </w:r>
        <w:r w:rsidR="007D64E2">
          <w:rPr>
            <w:noProof/>
            <w:webHidden/>
          </w:rPr>
          <w:fldChar w:fldCharType="begin"/>
        </w:r>
        <w:r w:rsidR="007D64E2">
          <w:rPr>
            <w:noProof/>
            <w:webHidden/>
          </w:rPr>
          <w:instrText xml:space="preserve"> PAGEREF _Toc491787022 \h </w:instrText>
        </w:r>
        <w:r w:rsidR="007D64E2">
          <w:rPr>
            <w:noProof/>
            <w:webHidden/>
          </w:rPr>
        </w:r>
        <w:r w:rsidR="007D64E2">
          <w:rPr>
            <w:noProof/>
            <w:webHidden/>
          </w:rPr>
          <w:fldChar w:fldCharType="separate"/>
        </w:r>
        <w:r w:rsidR="00DA04D2">
          <w:rPr>
            <w:noProof/>
            <w:webHidden/>
          </w:rPr>
          <w:t>26</w:t>
        </w:r>
        <w:r w:rsidR="007D64E2">
          <w:rPr>
            <w:noProof/>
            <w:webHidden/>
          </w:rPr>
          <w:fldChar w:fldCharType="end"/>
        </w:r>
      </w:hyperlink>
    </w:p>
    <w:p w:rsidR="00990D5A" w:rsidRPr="007B787C" w:rsidRDefault="00443482" w:rsidP="00131B18">
      <w:pPr>
        <w:spacing w:line="276" w:lineRule="auto"/>
        <w:ind w:left="1418" w:hanging="851"/>
        <w:jc w:val="center"/>
        <w:rPr>
          <w:rFonts w:ascii="Arial" w:hAnsi="Arial" w:cs="Arial"/>
          <w:b/>
          <w:bCs/>
          <w:kern w:val="32"/>
          <w:sz w:val="19"/>
          <w:szCs w:val="19"/>
        </w:rPr>
      </w:pPr>
      <w:r w:rsidRPr="007B787C">
        <w:rPr>
          <w:rFonts w:ascii="Arial" w:hAnsi="Arial" w:cs="Arial"/>
          <w:b/>
          <w:sz w:val="19"/>
          <w:szCs w:val="19"/>
        </w:rPr>
        <w:fldChar w:fldCharType="end"/>
      </w:r>
      <w:r w:rsidR="00990D5A" w:rsidRPr="007B787C">
        <w:rPr>
          <w:rFonts w:ascii="Arial" w:hAnsi="Arial" w:cs="Arial"/>
          <w:b/>
          <w:sz w:val="19"/>
          <w:szCs w:val="19"/>
        </w:rPr>
        <w:br w:type="page"/>
      </w:r>
    </w:p>
    <w:p w:rsidR="00DD0048" w:rsidRDefault="00DD0048" w:rsidP="00DD0048">
      <w:pPr>
        <w:pStyle w:val="Ttulo1"/>
        <w:spacing w:before="0" w:after="0"/>
        <w:ind w:left="360"/>
        <w:rPr>
          <w:sz w:val="24"/>
          <w:szCs w:val="24"/>
        </w:rPr>
      </w:pPr>
    </w:p>
    <w:p w:rsidR="00CB0B31" w:rsidRPr="006466BB" w:rsidRDefault="00CB0B31" w:rsidP="00D1171D">
      <w:pPr>
        <w:pStyle w:val="Ttulo1"/>
        <w:numPr>
          <w:ilvl w:val="0"/>
          <w:numId w:val="1"/>
        </w:numPr>
        <w:tabs>
          <w:tab w:val="num" w:pos="360"/>
        </w:tabs>
        <w:spacing w:before="0" w:after="0"/>
        <w:jc w:val="center"/>
        <w:rPr>
          <w:sz w:val="22"/>
          <w:szCs w:val="22"/>
        </w:rPr>
      </w:pPr>
      <w:bookmarkStart w:id="11" w:name="_Toc413319736"/>
      <w:bookmarkStart w:id="12" w:name="_Toc413320286"/>
      <w:bookmarkStart w:id="13" w:name="_Toc491786996"/>
      <w:r w:rsidRPr="006466BB">
        <w:rPr>
          <w:sz w:val="22"/>
          <w:szCs w:val="22"/>
        </w:rPr>
        <w:t>I</w:t>
      </w:r>
      <w:r w:rsidR="003074A4" w:rsidRPr="006466BB">
        <w:rPr>
          <w:sz w:val="22"/>
          <w:szCs w:val="22"/>
        </w:rPr>
        <w:t>ntroducción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B0B31" w:rsidRPr="006466BB" w:rsidRDefault="00CB0B31" w:rsidP="008F5FD8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8F5FD8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625F17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t xml:space="preserve">Con el propósito de recopilar información detallada sobre las operaciones monetarias y no monetarias (consultas de saldo) realizadas por los clientes y/o usuarios en los canales dispuestos por las entidades vigiladas, la Superintendencia Financiera de Colombia expidió la Circular Externa 014 del 17 de abril de 2008, </w:t>
      </w:r>
      <w:r w:rsidR="009E7A20">
        <w:rPr>
          <w:rFonts w:ascii="Arial" w:hAnsi="Arial" w:cs="Arial"/>
          <w:sz w:val="22"/>
          <w:szCs w:val="22"/>
        </w:rPr>
        <w:t xml:space="preserve">modificada por la Circular Externa 050 de 2016, </w:t>
      </w:r>
      <w:r w:rsidRPr="006466BB">
        <w:rPr>
          <w:rFonts w:ascii="Arial" w:hAnsi="Arial" w:cs="Arial"/>
          <w:sz w:val="22"/>
          <w:szCs w:val="22"/>
        </w:rPr>
        <w:t xml:space="preserve">mediante la cual se adoptó </w:t>
      </w:r>
      <w:r w:rsidR="00082119" w:rsidRPr="006466BB">
        <w:rPr>
          <w:rFonts w:ascii="Arial" w:hAnsi="Arial" w:cs="Arial"/>
          <w:sz w:val="22"/>
          <w:szCs w:val="22"/>
        </w:rPr>
        <w:t xml:space="preserve">el formato número 444 </w:t>
      </w:r>
      <w:r w:rsidRPr="006466BB">
        <w:rPr>
          <w:rFonts w:ascii="Arial" w:hAnsi="Arial" w:cs="Arial"/>
          <w:sz w:val="22"/>
          <w:szCs w:val="22"/>
        </w:rPr>
        <w:t>denominad</w:t>
      </w:r>
      <w:r w:rsidR="00082119" w:rsidRPr="006466BB">
        <w:rPr>
          <w:rFonts w:ascii="Arial" w:hAnsi="Arial" w:cs="Arial"/>
          <w:sz w:val="22"/>
          <w:szCs w:val="22"/>
        </w:rPr>
        <w:t>o</w:t>
      </w:r>
      <w:r w:rsidR="0000196A" w:rsidRPr="006466BB">
        <w:rPr>
          <w:rFonts w:ascii="Arial" w:hAnsi="Arial" w:cs="Arial"/>
          <w:sz w:val="22"/>
          <w:szCs w:val="22"/>
        </w:rPr>
        <w:t xml:space="preserve"> </w:t>
      </w:r>
      <w:r w:rsidRPr="006466BB">
        <w:rPr>
          <w:rFonts w:ascii="Arial" w:hAnsi="Arial" w:cs="Arial"/>
          <w:b/>
          <w:sz w:val="22"/>
          <w:szCs w:val="22"/>
        </w:rPr>
        <w:t>“Transacciones a través de los canales de distribución”</w:t>
      </w:r>
      <w:r w:rsidRPr="006466BB">
        <w:rPr>
          <w:rFonts w:ascii="Arial" w:hAnsi="Arial" w:cs="Arial"/>
          <w:sz w:val="22"/>
          <w:szCs w:val="22"/>
        </w:rPr>
        <w:t>.</w:t>
      </w:r>
    </w:p>
    <w:p w:rsidR="00CB0B31" w:rsidRPr="006466BB" w:rsidRDefault="00CB0B31" w:rsidP="00625F17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625F17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t>Se consideran canales de distribución: las oficinas de atención al público, los cajeros automáticos, los POS, el sistema de audio respuesta, Internet, telefonía móvil y los pagos automáticos, entre otros.</w:t>
      </w:r>
    </w:p>
    <w:p w:rsidR="00CB0B31" w:rsidRPr="006466BB" w:rsidRDefault="00CB0B31" w:rsidP="00625F17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625F17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t>Para contemplar la totalidad de las operaciones realizadas, en el informe se incluyen los corresponsales bancarios reportados a través del formato 398</w:t>
      </w:r>
      <w:r w:rsidRPr="006466BB">
        <w:rPr>
          <w:rFonts w:ascii="Arial" w:hAnsi="Arial" w:cs="Arial"/>
          <w:color w:val="FF0000"/>
          <w:sz w:val="22"/>
          <w:szCs w:val="22"/>
        </w:rPr>
        <w:t>.</w:t>
      </w:r>
    </w:p>
    <w:p w:rsidR="00CB0B31" w:rsidRPr="006466BB" w:rsidRDefault="00CB0B31" w:rsidP="00625F17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7F7FED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t xml:space="preserve">Las entidades vigiladas por la Superintendencia Financiera de Colombia que deben remitir </w:t>
      </w:r>
      <w:r w:rsidR="00BD3096" w:rsidRPr="006466BB">
        <w:rPr>
          <w:rFonts w:ascii="Arial" w:hAnsi="Arial" w:cs="Arial"/>
          <w:sz w:val="22"/>
          <w:szCs w:val="22"/>
        </w:rPr>
        <w:t xml:space="preserve">la </w:t>
      </w:r>
      <w:r w:rsidRPr="006466BB">
        <w:rPr>
          <w:rFonts w:ascii="Arial" w:hAnsi="Arial" w:cs="Arial"/>
          <w:sz w:val="22"/>
          <w:szCs w:val="22"/>
        </w:rPr>
        <w:t xml:space="preserve">información son: los establecimientos bancarios, las compañías de financiamiento, las cooperativas financieras, las administradoras de sistemas de pago de bajo valor y el Banco de la República. </w:t>
      </w:r>
    </w:p>
    <w:p w:rsidR="009C4BBA" w:rsidRPr="006466BB" w:rsidRDefault="009C4BBA" w:rsidP="007F7FED">
      <w:pPr>
        <w:jc w:val="both"/>
        <w:rPr>
          <w:rFonts w:ascii="Arial" w:hAnsi="Arial" w:cs="Arial"/>
          <w:sz w:val="22"/>
          <w:szCs w:val="22"/>
        </w:rPr>
      </w:pPr>
    </w:p>
    <w:p w:rsidR="009C4BBA" w:rsidRPr="006466BB" w:rsidRDefault="009C4BBA" w:rsidP="007F7FED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t>Es importante aclarar que se puede</w:t>
      </w:r>
      <w:r w:rsidR="00D83EB4" w:rsidRPr="006466BB">
        <w:rPr>
          <w:rFonts w:ascii="Arial" w:hAnsi="Arial" w:cs="Arial"/>
          <w:sz w:val="22"/>
          <w:szCs w:val="22"/>
        </w:rPr>
        <w:t>n</w:t>
      </w:r>
      <w:r w:rsidRPr="006466BB">
        <w:rPr>
          <w:rFonts w:ascii="Arial" w:hAnsi="Arial" w:cs="Arial"/>
          <w:sz w:val="22"/>
          <w:szCs w:val="22"/>
        </w:rPr>
        <w:t xml:space="preserve"> presentar variaci</w:t>
      </w:r>
      <w:r w:rsidR="00D83EB4" w:rsidRPr="006466BB">
        <w:rPr>
          <w:rFonts w:ascii="Arial" w:hAnsi="Arial" w:cs="Arial"/>
          <w:sz w:val="22"/>
          <w:szCs w:val="22"/>
        </w:rPr>
        <w:t>ones</w:t>
      </w:r>
      <w:r w:rsidRPr="006466BB">
        <w:rPr>
          <w:rFonts w:ascii="Arial" w:hAnsi="Arial" w:cs="Arial"/>
          <w:sz w:val="22"/>
          <w:szCs w:val="22"/>
        </w:rPr>
        <w:t xml:space="preserve"> en algunos valores de períodos anteriores debido a </w:t>
      </w:r>
      <w:r w:rsidR="00D83EB4" w:rsidRPr="006466BB">
        <w:rPr>
          <w:rFonts w:ascii="Arial" w:hAnsi="Arial" w:cs="Arial"/>
          <w:sz w:val="22"/>
          <w:szCs w:val="22"/>
        </w:rPr>
        <w:t>cambios reportados por</w:t>
      </w:r>
      <w:r w:rsidRPr="006466BB">
        <w:rPr>
          <w:rFonts w:ascii="Arial" w:hAnsi="Arial" w:cs="Arial"/>
          <w:sz w:val="22"/>
          <w:szCs w:val="22"/>
        </w:rPr>
        <w:t xml:space="preserve"> las entidades</w:t>
      </w:r>
      <w:r w:rsidR="00D83EB4" w:rsidRPr="006466BB">
        <w:rPr>
          <w:rFonts w:ascii="Arial" w:hAnsi="Arial" w:cs="Arial"/>
          <w:sz w:val="22"/>
          <w:szCs w:val="22"/>
        </w:rPr>
        <w:t>.</w:t>
      </w:r>
      <w:r w:rsidRPr="006466BB">
        <w:rPr>
          <w:rFonts w:ascii="Arial" w:hAnsi="Arial" w:cs="Arial"/>
          <w:sz w:val="22"/>
          <w:szCs w:val="22"/>
        </w:rPr>
        <w:t xml:space="preserve"> </w:t>
      </w:r>
    </w:p>
    <w:p w:rsidR="00CB0B31" w:rsidRDefault="00CB0B31" w:rsidP="008F5FD8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br w:type="page"/>
      </w:r>
    </w:p>
    <w:p w:rsidR="008C1E73" w:rsidRPr="00C1644F" w:rsidRDefault="008C1E73" w:rsidP="008F5FD8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1C79B8" w:rsidP="00D1171D">
      <w:pPr>
        <w:pStyle w:val="Ttulo1"/>
        <w:numPr>
          <w:ilvl w:val="0"/>
          <w:numId w:val="1"/>
        </w:numPr>
        <w:tabs>
          <w:tab w:val="num" w:pos="360"/>
        </w:tabs>
        <w:spacing w:before="0" w:after="0"/>
        <w:jc w:val="center"/>
        <w:rPr>
          <w:sz w:val="22"/>
          <w:szCs w:val="22"/>
        </w:rPr>
      </w:pPr>
      <w:bookmarkStart w:id="14" w:name="_Toc210206805"/>
      <w:bookmarkStart w:id="15" w:name="_Toc413319432"/>
      <w:bookmarkStart w:id="16" w:name="_Toc413319737"/>
      <w:bookmarkStart w:id="17" w:name="_Toc413320287"/>
      <w:bookmarkStart w:id="18" w:name="_Toc491786997"/>
      <w:r w:rsidRPr="006466BB">
        <w:rPr>
          <w:sz w:val="22"/>
          <w:szCs w:val="22"/>
        </w:rPr>
        <w:t>D</w:t>
      </w:r>
      <w:r w:rsidR="00DD0048" w:rsidRPr="006466BB">
        <w:rPr>
          <w:sz w:val="22"/>
          <w:szCs w:val="22"/>
        </w:rPr>
        <w:t>efiniciones</w:t>
      </w:r>
      <w:bookmarkEnd w:id="14"/>
      <w:bookmarkEnd w:id="15"/>
      <w:bookmarkEnd w:id="16"/>
      <w:bookmarkEnd w:id="17"/>
      <w:bookmarkEnd w:id="18"/>
    </w:p>
    <w:p w:rsidR="00CB0B31" w:rsidRPr="006466BB" w:rsidRDefault="00CB0B31" w:rsidP="009F4080">
      <w:pPr>
        <w:rPr>
          <w:sz w:val="22"/>
          <w:szCs w:val="22"/>
        </w:rPr>
      </w:pPr>
    </w:p>
    <w:p w:rsidR="00CB0B31" w:rsidRPr="006466BB" w:rsidRDefault="00CB0B31" w:rsidP="008F5FD8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8F5FD8">
      <w:pPr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sz w:val="22"/>
          <w:szCs w:val="22"/>
        </w:rPr>
        <w:t>En el Informe de operaciones se utilizan los siguientes términos:</w:t>
      </w:r>
    </w:p>
    <w:p w:rsidR="00CB0B31" w:rsidRPr="006466BB" w:rsidRDefault="00CB0B31" w:rsidP="008F5FD8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8F5FD8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Número de Operaciones Monetarias</w:t>
      </w:r>
      <w:r w:rsidRPr="006466BB">
        <w:rPr>
          <w:rFonts w:ascii="Arial" w:hAnsi="Arial" w:cs="Arial"/>
          <w:sz w:val="22"/>
          <w:szCs w:val="22"/>
        </w:rPr>
        <w:t>: cantidad de movimientos, manejo o transferencias de dinero realizados por los clientes y/o usuarios de las entidades durante el periodo.</w:t>
      </w:r>
    </w:p>
    <w:p w:rsidR="00CB0B31" w:rsidRPr="006466BB" w:rsidRDefault="00CB0B31" w:rsidP="00D10814">
      <w:pPr>
        <w:jc w:val="both"/>
        <w:rPr>
          <w:rFonts w:ascii="Arial" w:hAnsi="Arial" w:cs="Arial"/>
          <w:b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Monto Total de las Operaciones</w:t>
      </w:r>
      <w:r w:rsidRPr="006466BB">
        <w:rPr>
          <w:rFonts w:ascii="Arial" w:hAnsi="Arial" w:cs="Arial"/>
          <w:sz w:val="22"/>
          <w:szCs w:val="22"/>
        </w:rPr>
        <w:t xml:space="preserve">: valor en </w:t>
      </w:r>
      <w:r w:rsidR="00405B16" w:rsidRPr="006466BB">
        <w:rPr>
          <w:rFonts w:ascii="Arial" w:hAnsi="Arial" w:cs="Arial"/>
          <w:sz w:val="22"/>
          <w:szCs w:val="22"/>
        </w:rPr>
        <w:t>millones de</w:t>
      </w:r>
      <w:r w:rsidR="0000196A" w:rsidRPr="006466BB">
        <w:rPr>
          <w:rFonts w:ascii="Arial" w:hAnsi="Arial" w:cs="Arial"/>
          <w:sz w:val="22"/>
          <w:szCs w:val="22"/>
        </w:rPr>
        <w:t xml:space="preserve"> </w:t>
      </w:r>
      <w:r w:rsidRPr="006466BB">
        <w:rPr>
          <w:rFonts w:ascii="Arial" w:hAnsi="Arial" w:cs="Arial"/>
          <w:sz w:val="22"/>
          <w:szCs w:val="22"/>
        </w:rPr>
        <w:t>pesos de los movimientos, manejo o transferencias de dinero realizad</w:t>
      </w:r>
      <w:r w:rsidR="00082119" w:rsidRPr="006466BB">
        <w:rPr>
          <w:rFonts w:ascii="Arial" w:hAnsi="Arial" w:cs="Arial"/>
          <w:sz w:val="22"/>
          <w:szCs w:val="22"/>
        </w:rPr>
        <w:t>o</w:t>
      </w:r>
      <w:r w:rsidRPr="006466BB">
        <w:rPr>
          <w:rFonts w:ascii="Arial" w:hAnsi="Arial" w:cs="Arial"/>
          <w:sz w:val="22"/>
          <w:szCs w:val="22"/>
        </w:rPr>
        <w:t>s por los clientes y/o usuarios de las entidades durante el periodo.</w:t>
      </w:r>
    </w:p>
    <w:p w:rsidR="00CB0B31" w:rsidRPr="006466BB" w:rsidRDefault="00CB0B31" w:rsidP="00D10814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N</w:t>
      </w:r>
      <w:r w:rsidR="00212476" w:rsidRPr="006466BB">
        <w:rPr>
          <w:rFonts w:ascii="Arial" w:hAnsi="Arial" w:cs="Arial"/>
          <w:b/>
          <w:sz w:val="22"/>
          <w:szCs w:val="22"/>
        </w:rPr>
        <w:t>ú</w:t>
      </w:r>
      <w:r w:rsidRPr="006466BB">
        <w:rPr>
          <w:rFonts w:ascii="Arial" w:hAnsi="Arial" w:cs="Arial"/>
          <w:b/>
          <w:sz w:val="22"/>
          <w:szCs w:val="22"/>
        </w:rPr>
        <w:t xml:space="preserve">mero de Operaciones </w:t>
      </w:r>
      <w:r w:rsidR="000A69D6" w:rsidRPr="006466BB">
        <w:rPr>
          <w:rFonts w:ascii="Arial" w:hAnsi="Arial" w:cs="Arial"/>
          <w:b/>
          <w:sz w:val="22"/>
          <w:szCs w:val="22"/>
        </w:rPr>
        <w:t>n</w:t>
      </w:r>
      <w:r w:rsidRPr="006466BB">
        <w:rPr>
          <w:rFonts w:ascii="Arial" w:hAnsi="Arial" w:cs="Arial"/>
          <w:b/>
          <w:sz w:val="22"/>
          <w:szCs w:val="22"/>
        </w:rPr>
        <w:t>o Monetarias</w:t>
      </w:r>
      <w:r w:rsidRPr="006466BB">
        <w:rPr>
          <w:rFonts w:ascii="Arial" w:hAnsi="Arial" w:cs="Arial"/>
          <w:sz w:val="22"/>
          <w:szCs w:val="22"/>
        </w:rPr>
        <w:t>: cantidad de consultas de saldo realizadas por los clientes de las entidades durante el periodo.</w:t>
      </w:r>
    </w:p>
    <w:p w:rsidR="00CB0B31" w:rsidRPr="006466BB" w:rsidRDefault="00CB0B31" w:rsidP="00D10814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Número Total de Operaciones</w:t>
      </w:r>
      <w:r w:rsidRPr="006466BB">
        <w:rPr>
          <w:rFonts w:ascii="Arial" w:hAnsi="Arial" w:cs="Arial"/>
          <w:sz w:val="22"/>
          <w:szCs w:val="22"/>
        </w:rPr>
        <w:t>: consolida el número de operaciones monetarias  y el número de operaciones no monetarias realizadas por los clientes y/o usuarios de las entidades durante el periodo.</w:t>
      </w:r>
    </w:p>
    <w:p w:rsidR="00CB0B31" w:rsidRPr="006466BB" w:rsidRDefault="00CB0B31" w:rsidP="00D10814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Canal</w:t>
      </w:r>
      <w:r w:rsidRPr="006466BB">
        <w:rPr>
          <w:rFonts w:ascii="Arial" w:hAnsi="Arial" w:cs="Arial"/>
          <w:sz w:val="22"/>
          <w:szCs w:val="22"/>
        </w:rPr>
        <w:t>: es el medio que utilizan las entidades financieras para prestar sus servicios a los clientes y/o usuarios, tales como: oficinas, cajeros automáticos, Internet, datáfonos, audio respuesta, corresponsales bancarios, telefonía móvil, entre otros.</w:t>
      </w:r>
    </w:p>
    <w:p w:rsidR="00CB0B31" w:rsidRPr="006466BB" w:rsidRDefault="00CB0B31" w:rsidP="003F4CA4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Datáfono (POS)</w:t>
      </w:r>
      <w:r w:rsidRPr="006466BB">
        <w:rPr>
          <w:rFonts w:ascii="Arial" w:hAnsi="Arial" w:cs="Arial"/>
          <w:sz w:val="22"/>
          <w:szCs w:val="22"/>
        </w:rPr>
        <w:t xml:space="preserve">: es el dispositivo empleado en establecimientos de comercio para realizar pagos y efectuar otras operaciones, conocido como POS por su sigla en inglés (Point Of Sale). </w:t>
      </w:r>
    </w:p>
    <w:p w:rsidR="00CB0B31" w:rsidRPr="006466BB" w:rsidRDefault="00CB0B31" w:rsidP="003F4CA4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Audio Respuesta (IVR)</w:t>
      </w:r>
      <w:r w:rsidRPr="006466BB">
        <w:rPr>
          <w:rFonts w:ascii="Arial" w:hAnsi="Arial" w:cs="Arial"/>
          <w:sz w:val="22"/>
          <w:szCs w:val="22"/>
        </w:rPr>
        <w:t>: es el sistema telefónico que de manera interactiva suministra información y permite la realización de operaciones, conocido como IVR por su sigla en inglés (Interactive Voice Response).</w:t>
      </w:r>
    </w:p>
    <w:p w:rsidR="00CB0B31" w:rsidRPr="006466BB" w:rsidRDefault="00CB0B31" w:rsidP="0027224C">
      <w:pPr>
        <w:jc w:val="both"/>
        <w:rPr>
          <w:rFonts w:ascii="Arial" w:hAnsi="Arial" w:cs="Arial"/>
          <w:sz w:val="22"/>
          <w:szCs w:val="22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ACH</w:t>
      </w:r>
      <w:r w:rsidRPr="006466BB">
        <w:rPr>
          <w:rFonts w:ascii="Arial" w:hAnsi="Arial" w:cs="Arial"/>
          <w:sz w:val="22"/>
          <w:szCs w:val="22"/>
        </w:rPr>
        <w:t>: es el sistema que permite realizar transferencias electrónicas de dinero entre entidades financieras, mediante una cámara establecida para liquidar y compensar este tipo de movimientos. ACH es el acrónimo en inglés de Automated Clearing House.</w:t>
      </w:r>
    </w:p>
    <w:p w:rsidR="00CB0B31" w:rsidRPr="006466BB" w:rsidRDefault="00CB0B31" w:rsidP="0018157E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Pagos Automáticos</w:t>
      </w:r>
      <w:r w:rsidRPr="006466BB">
        <w:rPr>
          <w:rFonts w:ascii="Arial" w:hAnsi="Arial" w:cs="Arial"/>
          <w:sz w:val="22"/>
          <w:szCs w:val="22"/>
        </w:rPr>
        <w:t>: son las operaciones monetarias realizadas a través de débitos automáticos autorizados por los clientes de las entidades.</w:t>
      </w:r>
    </w:p>
    <w:p w:rsidR="00CB0B31" w:rsidRPr="006466BB" w:rsidRDefault="00CB0B31" w:rsidP="003F4CA4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CB0B31" w:rsidRPr="006466BB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Corresponsales Bancarios (CB)</w:t>
      </w:r>
      <w:r w:rsidRPr="006466BB">
        <w:rPr>
          <w:rFonts w:ascii="Arial" w:hAnsi="Arial" w:cs="Arial"/>
          <w:sz w:val="22"/>
          <w:szCs w:val="22"/>
        </w:rPr>
        <w:t>: son las personas naturales o jurídicas contratadas para prestar servicios financieros a nombre de un establecimiento de crédito, bajo las condiciones establecidas en el Decreto 2</w:t>
      </w:r>
      <w:r w:rsidR="003B7B42" w:rsidRPr="006466BB">
        <w:rPr>
          <w:rFonts w:ascii="Arial" w:hAnsi="Arial" w:cs="Arial"/>
          <w:sz w:val="22"/>
          <w:szCs w:val="22"/>
        </w:rPr>
        <w:t>672</w:t>
      </w:r>
      <w:r w:rsidRPr="006466BB">
        <w:rPr>
          <w:rFonts w:ascii="Arial" w:hAnsi="Arial" w:cs="Arial"/>
          <w:sz w:val="22"/>
          <w:szCs w:val="22"/>
        </w:rPr>
        <w:t xml:space="preserve"> de 20</w:t>
      </w:r>
      <w:r w:rsidR="003B7B42" w:rsidRPr="006466BB">
        <w:rPr>
          <w:rFonts w:ascii="Arial" w:hAnsi="Arial" w:cs="Arial"/>
          <w:sz w:val="22"/>
          <w:szCs w:val="22"/>
        </w:rPr>
        <w:t>12</w:t>
      </w:r>
      <w:r w:rsidRPr="006466BB">
        <w:rPr>
          <w:rFonts w:ascii="Arial" w:hAnsi="Arial" w:cs="Arial"/>
          <w:sz w:val="22"/>
          <w:szCs w:val="22"/>
        </w:rPr>
        <w:t>.</w:t>
      </w:r>
    </w:p>
    <w:p w:rsidR="00CB0B31" w:rsidRPr="006466BB" w:rsidRDefault="00CB0B31" w:rsidP="00804A4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680544" w:rsidRDefault="00CB0B31" w:rsidP="00D1171D">
      <w:pPr>
        <w:numPr>
          <w:ilvl w:val="0"/>
          <w:numId w:val="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66BB">
        <w:rPr>
          <w:rFonts w:ascii="Arial" w:hAnsi="Arial" w:cs="Arial"/>
          <w:b/>
          <w:sz w:val="22"/>
          <w:szCs w:val="22"/>
        </w:rPr>
        <w:t>NA</w:t>
      </w:r>
      <w:r w:rsidRPr="006466BB">
        <w:rPr>
          <w:rFonts w:ascii="Arial" w:hAnsi="Arial" w:cs="Arial"/>
          <w:sz w:val="22"/>
          <w:szCs w:val="22"/>
        </w:rPr>
        <w:t>: es la expresión utilizada para indicar que el concepto no aplica.</w:t>
      </w:r>
    </w:p>
    <w:p w:rsidR="00680544" w:rsidRDefault="00680544" w:rsidP="00680544">
      <w:r>
        <w:br w:type="page"/>
      </w:r>
    </w:p>
    <w:p w:rsidR="0075481C" w:rsidRPr="00697D26" w:rsidRDefault="00685A59" w:rsidP="00235284">
      <w:pPr>
        <w:pStyle w:val="Ttulo1"/>
        <w:numPr>
          <w:ilvl w:val="0"/>
          <w:numId w:val="10"/>
        </w:numPr>
        <w:spacing w:before="0" w:after="0"/>
        <w:ind w:left="567" w:hanging="567"/>
        <w:jc w:val="both"/>
        <w:rPr>
          <w:sz w:val="24"/>
          <w:szCs w:val="24"/>
        </w:rPr>
      </w:pPr>
      <w:bookmarkStart w:id="19" w:name="_Toc491786998"/>
      <w:bookmarkStart w:id="20" w:name="_Toc413319440"/>
      <w:bookmarkStart w:id="21" w:name="_Toc413319745"/>
      <w:bookmarkStart w:id="22" w:name="_Toc413320295"/>
      <w:r w:rsidRPr="00697D26">
        <w:rPr>
          <w:sz w:val="24"/>
          <w:szCs w:val="24"/>
        </w:rPr>
        <w:lastRenderedPageBreak/>
        <w:t>Resultado de la Consolidación</w:t>
      </w:r>
      <w:r w:rsidR="00492850" w:rsidRPr="00697D26">
        <w:rPr>
          <w:sz w:val="24"/>
          <w:szCs w:val="24"/>
        </w:rPr>
        <w:t xml:space="preserve"> de los Datos del Semestre</w:t>
      </w:r>
      <w:bookmarkEnd w:id="19"/>
      <w:r w:rsidR="00492850" w:rsidRPr="00697D26">
        <w:rPr>
          <w:sz w:val="24"/>
          <w:szCs w:val="24"/>
        </w:rPr>
        <w:t xml:space="preserve"> </w:t>
      </w:r>
      <w:bookmarkEnd w:id="20"/>
      <w:bookmarkEnd w:id="21"/>
      <w:bookmarkEnd w:id="22"/>
    </w:p>
    <w:p w:rsidR="00600987" w:rsidRPr="00697D26" w:rsidRDefault="00600987" w:rsidP="00600987">
      <w:pPr>
        <w:rPr>
          <w:rFonts w:ascii="Arial" w:hAnsi="Arial" w:cs="Arial"/>
          <w:sz w:val="22"/>
        </w:rPr>
      </w:pPr>
    </w:p>
    <w:p w:rsidR="008E4743" w:rsidRPr="00697D26" w:rsidRDefault="006E2E25" w:rsidP="00235284">
      <w:pPr>
        <w:pStyle w:val="Ttulo1"/>
        <w:numPr>
          <w:ilvl w:val="1"/>
          <w:numId w:val="4"/>
        </w:numPr>
        <w:spacing w:before="0" w:after="0"/>
        <w:ind w:left="567" w:hanging="567"/>
        <w:rPr>
          <w:sz w:val="24"/>
          <w:szCs w:val="24"/>
        </w:rPr>
      </w:pPr>
      <w:bookmarkStart w:id="23" w:name="_Toc413319441"/>
      <w:bookmarkStart w:id="24" w:name="_Toc413319746"/>
      <w:bookmarkStart w:id="25" w:name="_Toc413320296"/>
      <w:bookmarkStart w:id="26" w:name="_Toc491786999"/>
      <w:r w:rsidRPr="00697D26">
        <w:rPr>
          <w:sz w:val="24"/>
          <w:szCs w:val="24"/>
        </w:rPr>
        <w:t>Resumen General del Sistema</w:t>
      </w:r>
      <w:bookmarkEnd w:id="23"/>
      <w:bookmarkEnd w:id="24"/>
      <w:bookmarkEnd w:id="25"/>
      <w:bookmarkEnd w:id="26"/>
    </w:p>
    <w:p w:rsidR="000C4AD6" w:rsidRDefault="000C4AD6" w:rsidP="008E4743">
      <w:pPr>
        <w:jc w:val="both"/>
        <w:rPr>
          <w:rFonts w:ascii="Arial" w:hAnsi="Arial" w:cs="Arial"/>
          <w:sz w:val="22"/>
          <w:szCs w:val="22"/>
        </w:rPr>
      </w:pPr>
    </w:p>
    <w:p w:rsidR="0066373B" w:rsidRDefault="0066373B" w:rsidP="008E4743">
      <w:pPr>
        <w:jc w:val="both"/>
        <w:rPr>
          <w:rFonts w:ascii="Arial" w:hAnsi="Arial" w:cs="Arial"/>
          <w:sz w:val="22"/>
        </w:rPr>
      </w:pPr>
      <w:r w:rsidRPr="007E1F5C">
        <w:rPr>
          <w:rFonts w:ascii="Arial" w:hAnsi="Arial" w:cs="Arial"/>
          <w:sz w:val="22"/>
        </w:rPr>
        <w:t xml:space="preserve">De acuerdo con la información reportada a la SFC, en el </w:t>
      </w:r>
      <w:r w:rsidR="00232A5C">
        <w:rPr>
          <w:rFonts w:ascii="Arial" w:hAnsi="Arial" w:cs="Arial"/>
          <w:sz w:val="22"/>
        </w:rPr>
        <w:t>primer</w:t>
      </w:r>
      <w:r w:rsidRPr="007E1F5C">
        <w:rPr>
          <w:rFonts w:ascii="Arial" w:hAnsi="Arial" w:cs="Arial"/>
          <w:sz w:val="22"/>
        </w:rPr>
        <w:t xml:space="preserve"> semestre de 201</w:t>
      </w:r>
      <w:r w:rsidR="00222C56">
        <w:rPr>
          <w:rFonts w:ascii="Arial" w:hAnsi="Arial" w:cs="Arial"/>
          <w:sz w:val="22"/>
        </w:rPr>
        <w:t>7</w:t>
      </w:r>
      <w:r w:rsidRPr="007E1F5C">
        <w:rPr>
          <w:rFonts w:ascii="Arial" w:hAnsi="Arial" w:cs="Arial"/>
          <w:sz w:val="22"/>
        </w:rPr>
        <w:t xml:space="preserve"> el sistema financiero colombiano realizó </w:t>
      </w:r>
      <w:r w:rsidR="00232A5C">
        <w:rPr>
          <w:rFonts w:ascii="Arial" w:hAnsi="Arial" w:cs="Arial"/>
          <w:sz w:val="22"/>
        </w:rPr>
        <w:t>2</w:t>
      </w:r>
      <w:r w:rsidRPr="007E1F5C">
        <w:rPr>
          <w:rFonts w:ascii="Arial" w:hAnsi="Arial" w:cs="Arial"/>
          <w:sz w:val="22"/>
        </w:rPr>
        <w:t>.</w:t>
      </w:r>
      <w:r w:rsidR="00222C56">
        <w:rPr>
          <w:rFonts w:ascii="Arial" w:hAnsi="Arial" w:cs="Arial"/>
          <w:sz w:val="22"/>
        </w:rPr>
        <w:t>722</w:t>
      </w:r>
      <w:r w:rsidR="00232A5C">
        <w:rPr>
          <w:rFonts w:ascii="Arial" w:hAnsi="Arial" w:cs="Arial"/>
          <w:sz w:val="22"/>
        </w:rPr>
        <w:t xml:space="preserve"> millones de </w:t>
      </w:r>
      <w:r w:rsidR="00EF1258" w:rsidRPr="007E1F5C">
        <w:rPr>
          <w:rFonts w:ascii="Arial" w:hAnsi="Arial" w:cs="Arial"/>
          <w:sz w:val="22"/>
        </w:rPr>
        <w:t>operaciones</w:t>
      </w:r>
      <w:r w:rsidR="007E0972" w:rsidRPr="007E1F5C">
        <w:rPr>
          <w:rFonts w:ascii="Arial" w:hAnsi="Arial" w:cs="Arial"/>
          <w:sz w:val="22"/>
        </w:rPr>
        <w:t xml:space="preserve"> por $3.</w:t>
      </w:r>
      <w:r w:rsidR="00222C56">
        <w:rPr>
          <w:rFonts w:ascii="Arial" w:hAnsi="Arial" w:cs="Arial"/>
          <w:sz w:val="22"/>
        </w:rPr>
        <w:t>528</w:t>
      </w:r>
      <w:r w:rsidR="00EC7DA2" w:rsidRPr="007E1F5C">
        <w:rPr>
          <w:rFonts w:ascii="Arial" w:hAnsi="Arial" w:cs="Arial"/>
          <w:sz w:val="22"/>
        </w:rPr>
        <w:t>,</w:t>
      </w:r>
      <w:r w:rsidR="00222C56">
        <w:rPr>
          <w:rFonts w:ascii="Arial" w:hAnsi="Arial" w:cs="Arial"/>
          <w:sz w:val="22"/>
        </w:rPr>
        <w:t>7</w:t>
      </w:r>
      <w:r w:rsidR="007E0972" w:rsidRPr="007E1F5C">
        <w:rPr>
          <w:rFonts w:ascii="Arial" w:hAnsi="Arial" w:cs="Arial"/>
          <w:sz w:val="22"/>
        </w:rPr>
        <w:t xml:space="preserve"> billones de pesos</w:t>
      </w:r>
      <w:r w:rsidR="00232A5C">
        <w:rPr>
          <w:rFonts w:ascii="Arial" w:hAnsi="Arial" w:cs="Arial"/>
          <w:sz w:val="22"/>
        </w:rPr>
        <w:t>.</w:t>
      </w:r>
    </w:p>
    <w:p w:rsidR="00B02F4B" w:rsidRDefault="00B02F4B" w:rsidP="008E4743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594BB2" w:rsidRDefault="00594BB2" w:rsidP="008E4743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Montos en millones de pesos</w:t>
      </w:r>
    </w:p>
    <w:tbl>
      <w:tblPr>
        <w:tblW w:w="70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92"/>
        <w:gridCol w:w="2268"/>
        <w:gridCol w:w="1453"/>
      </w:tblGrid>
      <w:tr w:rsidR="00975A2E" w:rsidRPr="00975A2E" w:rsidTr="0082475D">
        <w:trPr>
          <w:trHeight w:val="850"/>
          <w:jc w:val="center"/>
        </w:trPr>
        <w:tc>
          <w:tcPr>
            <w:tcW w:w="2340" w:type="dxa"/>
            <w:shd w:val="clear" w:color="auto" w:fill="31849B" w:themeFill="accent5" w:themeFillShade="BF"/>
            <w:vAlign w:val="center"/>
            <w:hideMark/>
          </w:tcPr>
          <w:p w:rsidR="00975A2E" w:rsidRPr="00975A2E" w:rsidRDefault="00975A2E" w:rsidP="00975A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75A2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992" w:type="dxa"/>
            <w:shd w:val="clear" w:color="auto" w:fill="31849B" w:themeFill="accent5" w:themeFillShade="BF"/>
            <w:vAlign w:val="center"/>
            <w:hideMark/>
          </w:tcPr>
          <w:p w:rsidR="00975A2E" w:rsidRPr="00975A2E" w:rsidRDefault="00975A2E" w:rsidP="00975A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2268" w:type="dxa"/>
            <w:shd w:val="clear" w:color="auto" w:fill="31849B" w:themeFill="accent5" w:themeFillShade="BF"/>
            <w:vAlign w:val="center"/>
            <w:hideMark/>
          </w:tcPr>
          <w:p w:rsidR="00975A2E" w:rsidRPr="00975A2E" w:rsidRDefault="00975A2E" w:rsidP="00975A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75A2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 y no Monetarias (en millones)</w:t>
            </w:r>
          </w:p>
        </w:tc>
        <w:tc>
          <w:tcPr>
            <w:tcW w:w="1453" w:type="dxa"/>
            <w:shd w:val="clear" w:color="auto" w:fill="31849B" w:themeFill="accent5" w:themeFillShade="BF"/>
            <w:vAlign w:val="center"/>
            <w:hideMark/>
          </w:tcPr>
          <w:p w:rsidR="00975A2E" w:rsidRPr="00975A2E" w:rsidRDefault="00975A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75A2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Oficinas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6.447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309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1.545.249.728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Internet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1.225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1.240.565.545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ACH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57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520.417.273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Cajeros Automáticos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15.291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379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110.480.150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Datáfonos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 w:rsidP="004544A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  <w:r w:rsidR="004544A6">
              <w:rPr>
                <w:rFonts w:ascii="Arial" w:hAnsi="Arial" w:cs="Arial"/>
                <w:color w:val="000000"/>
                <w:sz w:val="18"/>
                <w:szCs w:val="22"/>
              </w:rPr>
              <w:t>81</w:t>
            </w: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  <w:r w:rsidR="004544A6">
              <w:rPr>
                <w:rFonts w:ascii="Arial" w:hAnsi="Arial" w:cs="Arial"/>
                <w:color w:val="000000"/>
                <w:sz w:val="18"/>
                <w:szCs w:val="22"/>
              </w:rPr>
              <w:t>960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268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44.250.734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Corresponsales Bancarios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98.543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228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34.372.211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Pagos Automáticos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53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27.437.633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Telefonía Móvil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142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4.818.178</w:t>
            </w:r>
          </w:p>
        </w:tc>
      </w:tr>
      <w:tr w:rsidR="00222C56" w:rsidRPr="00975A2E" w:rsidTr="00532F95">
        <w:trPr>
          <w:trHeight w:val="283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Audio Respuesta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59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22C56">
              <w:rPr>
                <w:rFonts w:ascii="Arial" w:hAnsi="Arial" w:cs="Arial"/>
                <w:color w:val="000000"/>
                <w:sz w:val="18"/>
                <w:szCs w:val="22"/>
              </w:rPr>
              <w:t>1.136.605</w:t>
            </w:r>
          </w:p>
        </w:tc>
      </w:tr>
      <w:tr w:rsidR="00222C56" w:rsidRPr="00975A2E" w:rsidTr="0082475D">
        <w:trPr>
          <w:trHeight w:val="454"/>
          <w:jc w:val="center"/>
        </w:trPr>
        <w:tc>
          <w:tcPr>
            <w:tcW w:w="2340" w:type="dxa"/>
            <w:shd w:val="clear" w:color="auto" w:fill="31849B" w:themeFill="accent5" w:themeFillShade="BF"/>
            <w:vAlign w:val="center"/>
            <w:hideMark/>
          </w:tcPr>
          <w:p w:rsidR="00222C56" w:rsidRPr="00975A2E" w:rsidRDefault="00222C56" w:rsidP="0082475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75A2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82475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992" w:type="dxa"/>
            <w:shd w:val="clear" w:color="auto" w:fill="31849B" w:themeFill="accent5" w:themeFillShade="BF"/>
            <w:vAlign w:val="center"/>
            <w:hideMark/>
          </w:tcPr>
          <w:p w:rsidR="00222C56" w:rsidRPr="00975A2E" w:rsidRDefault="00222C5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75A2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31849B" w:themeFill="accent5" w:themeFillShade="BF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222C5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2.722</w:t>
            </w:r>
          </w:p>
        </w:tc>
        <w:tc>
          <w:tcPr>
            <w:tcW w:w="1453" w:type="dxa"/>
            <w:shd w:val="clear" w:color="auto" w:fill="31849B" w:themeFill="accent5" w:themeFillShade="BF"/>
            <w:vAlign w:val="center"/>
            <w:hideMark/>
          </w:tcPr>
          <w:p w:rsidR="00222C56" w:rsidRPr="00222C56" w:rsidRDefault="00222C5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222C56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3.528.728.057</w:t>
            </w:r>
          </w:p>
        </w:tc>
      </w:tr>
    </w:tbl>
    <w:p w:rsidR="008A5C90" w:rsidRPr="003E2D7E" w:rsidRDefault="008A5C90" w:rsidP="008A5C90">
      <w:pPr>
        <w:pStyle w:val="Ttulo1"/>
        <w:spacing w:before="0" w:after="0"/>
        <w:rPr>
          <w:sz w:val="22"/>
          <w:szCs w:val="24"/>
        </w:rPr>
      </w:pPr>
      <w:bookmarkStart w:id="27" w:name="_Toc256582633"/>
      <w:bookmarkStart w:id="28" w:name="_Toc413319442"/>
      <w:bookmarkStart w:id="29" w:name="_Toc413319747"/>
      <w:bookmarkStart w:id="30" w:name="_Toc413320297"/>
    </w:p>
    <w:p w:rsidR="007C7D17" w:rsidRPr="00AD09E5" w:rsidRDefault="00014DFF" w:rsidP="00235284">
      <w:pPr>
        <w:pStyle w:val="Ttulo1"/>
        <w:numPr>
          <w:ilvl w:val="1"/>
          <w:numId w:val="4"/>
        </w:numPr>
        <w:spacing w:before="0" w:after="0"/>
        <w:ind w:left="567" w:hanging="567"/>
        <w:rPr>
          <w:sz w:val="24"/>
          <w:szCs w:val="24"/>
        </w:rPr>
      </w:pPr>
      <w:bookmarkStart w:id="31" w:name="_Toc491787000"/>
      <w:r>
        <w:rPr>
          <w:sz w:val="24"/>
          <w:szCs w:val="24"/>
        </w:rPr>
        <w:t>Resumen General por Canal</w:t>
      </w:r>
      <w:bookmarkEnd w:id="27"/>
      <w:bookmarkEnd w:id="28"/>
      <w:bookmarkEnd w:id="29"/>
      <w:bookmarkEnd w:id="30"/>
      <w:bookmarkEnd w:id="31"/>
    </w:p>
    <w:p w:rsidR="007C7D17" w:rsidRPr="007F61C7" w:rsidRDefault="007C7D17" w:rsidP="007C7D17">
      <w:pPr>
        <w:rPr>
          <w:rFonts w:ascii="Arial" w:hAnsi="Arial" w:cs="Arial"/>
          <w:sz w:val="22"/>
          <w:szCs w:val="22"/>
        </w:rPr>
      </w:pPr>
    </w:p>
    <w:p w:rsidR="007C7D17" w:rsidRDefault="00014DFF" w:rsidP="007C7D17">
      <w:pPr>
        <w:jc w:val="both"/>
        <w:rPr>
          <w:rFonts w:ascii="Arial" w:hAnsi="Arial" w:cs="Arial"/>
          <w:sz w:val="22"/>
          <w:szCs w:val="22"/>
        </w:rPr>
      </w:pPr>
      <w:r w:rsidRPr="00014DFF">
        <w:rPr>
          <w:rFonts w:ascii="Arial" w:hAnsi="Arial" w:cs="Arial"/>
          <w:sz w:val="22"/>
          <w:szCs w:val="22"/>
        </w:rPr>
        <w:t xml:space="preserve">En el </w:t>
      </w:r>
      <w:r w:rsidR="008B650E">
        <w:rPr>
          <w:rFonts w:ascii="Arial" w:hAnsi="Arial" w:cs="Arial"/>
          <w:sz w:val="22"/>
          <w:szCs w:val="22"/>
        </w:rPr>
        <w:t>primer</w:t>
      </w:r>
      <w:r w:rsidRPr="00014DFF">
        <w:rPr>
          <w:rFonts w:ascii="Arial" w:hAnsi="Arial" w:cs="Arial"/>
          <w:sz w:val="22"/>
          <w:szCs w:val="22"/>
        </w:rPr>
        <w:t xml:space="preserve"> semestre de 201</w:t>
      </w:r>
      <w:r w:rsidR="00110D8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el mayor número de operaciones monetarias</w:t>
      </w:r>
      <w:r w:rsidR="00FC3271">
        <w:rPr>
          <w:rFonts w:ascii="Arial" w:hAnsi="Arial" w:cs="Arial"/>
          <w:sz w:val="22"/>
          <w:szCs w:val="22"/>
        </w:rPr>
        <w:t>, 3</w:t>
      </w:r>
      <w:r w:rsidR="00110D84">
        <w:rPr>
          <w:rFonts w:ascii="Arial" w:hAnsi="Arial" w:cs="Arial"/>
          <w:sz w:val="22"/>
          <w:szCs w:val="22"/>
        </w:rPr>
        <w:t>34</w:t>
      </w:r>
      <w:r w:rsidR="00FC3271">
        <w:rPr>
          <w:rFonts w:ascii="Arial" w:hAnsi="Arial" w:cs="Arial"/>
          <w:sz w:val="22"/>
          <w:szCs w:val="22"/>
        </w:rPr>
        <w:t>.</w:t>
      </w:r>
      <w:r w:rsidR="00110D84">
        <w:rPr>
          <w:rFonts w:ascii="Arial" w:hAnsi="Arial" w:cs="Arial"/>
          <w:sz w:val="22"/>
          <w:szCs w:val="22"/>
        </w:rPr>
        <w:t>160</w:t>
      </w:r>
      <w:r w:rsidR="00FC3271">
        <w:rPr>
          <w:rFonts w:ascii="Arial" w:hAnsi="Arial" w:cs="Arial"/>
          <w:sz w:val="22"/>
          <w:szCs w:val="22"/>
        </w:rPr>
        <w:t>.</w:t>
      </w:r>
      <w:r w:rsidR="00110D84">
        <w:rPr>
          <w:rFonts w:ascii="Arial" w:hAnsi="Arial" w:cs="Arial"/>
          <w:sz w:val="22"/>
          <w:szCs w:val="22"/>
        </w:rPr>
        <w:t>054</w:t>
      </w:r>
      <w:r w:rsidR="00FC3271">
        <w:rPr>
          <w:rFonts w:ascii="Arial" w:hAnsi="Arial" w:cs="Arial"/>
          <w:sz w:val="22"/>
          <w:szCs w:val="22"/>
        </w:rPr>
        <w:t xml:space="preserve"> por $</w:t>
      </w:r>
      <w:r w:rsidR="00110D84">
        <w:rPr>
          <w:rFonts w:ascii="Arial" w:hAnsi="Arial" w:cs="Arial"/>
          <w:sz w:val="22"/>
          <w:szCs w:val="22"/>
        </w:rPr>
        <w:t>110</w:t>
      </w:r>
      <w:r w:rsidR="008B650E">
        <w:rPr>
          <w:rFonts w:ascii="Arial" w:hAnsi="Arial" w:cs="Arial"/>
          <w:sz w:val="22"/>
          <w:szCs w:val="22"/>
        </w:rPr>
        <w:t>,</w:t>
      </w:r>
      <w:r w:rsidR="00110D84">
        <w:rPr>
          <w:rFonts w:ascii="Arial" w:hAnsi="Arial" w:cs="Arial"/>
          <w:sz w:val="22"/>
          <w:szCs w:val="22"/>
        </w:rPr>
        <w:t>4</w:t>
      </w:r>
      <w:r w:rsidR="00FC3271">
        <w:rPr>
          <w:rFonts w:ascii="Arial" w:hAnsi="Arial" w:cs="Arial"/>
          <w:sz w:val="22"/>
          <w:szCs w:val="22"/>
        </w:rPr>
        <w:t xml:space="preserve"> billones de pesos, se efectuaron en </w:t>
      </w:r>
      <w:r w:rsidR="008B650E">
        <w:rPr>
          <w:rFonts w:ascii="Arial" w:hAnsi="Arial" w:cs="Arial"/>
          <w:sz w:val="22"/>
          <w:szCs w:val="22"/>
        </w:rPr>
        <w:t>los cajeros automáticos</w:t>
      </w:r>
      <w:r w:rsidR="00FC3271">
        <w:rPr>
          <w:rFonts w:ascii="Arial" w:hAnsi="Arial" w:cs="Arial"/>
          <w:sz w:val="22"/>
          <w:szCs w:val="22"/>
        </w:rPr>
        <w:t>.</w:t>
      </w:r>
    </w:p>
    <w:p w:rsidR="008B650E" w:rsidRDefault="008B650E" w:rsidP="007C7D17">
      <w:pPr>
        <w:jc w:val="both"/>
        <w:rPr>
          <w:rFonts w:ascii="Arial" w:hAnsi="Arial" w:cs="Arial"/>
          <w:sz w:val="22"/>
          <w:szCs w:val="22"/>
        </w:rPr>
      </w:pPr>
    </w:p>
    <w:p w:rsidR="00014DFF" w:rsidRDefault="00DA0ABB" w:rsidP="00100E16">
      <w:pPr>
        <w:ind w:left="4956" w:firstLine="708"/>
        <w:jc w:val="center"/>
        <w:rPr>
          <w:rFonts w:ascii="Arial" w:hAnsi="Arial" w:cs="Arial"/>
          <w:b/>
          <w:sz w:val="16"/>
          <w:szCs w:val="22"/>
        </w:rPr>
      </w:pPr>
      <w:r w:rsidRPr="00DA0ABB">
        <w:rPr>
          <w:rFonts w:ascii="Arial" w:hAnsi="Arial" w:cs="Arial"/>
          <w:b/>
          <w:sz w:val="16"/>
          <w:szCs w:val="22"/>
        </w:rPr>
        <w:t>Montos en millones de pesos</w:t>
      </w:r>
    </w:p>
    <w:tbl>
      <w:tblPr>
        <w:tblW w:w="8520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560"/>
        <w:gridCol w:w="1417"/>
        <w:gridCol w:w="1559"/>
      </w:tblGrid>
      <w:tr w:rsidR="0028524B" w:rsidRPr="0028524B" w:rsidTr="0082475D">
        <w:trPr>
          <w:trHeight w:val="850"/>
        </w:trPr>
        <w:tc>
          <w:tcPr>
            <w:tcW w:w="2283" w:type="dxa"/>
            <w:shd w:val="clear" w:color="auto" w:fill="31849B" w:themeFill="accent5" w:themeFillShade="BF"/>
            <w:vAlign w:val="center"/>
            <w:hideMark/>
          </w:tcPr>
          <w:p w:rsidR="0028524B" w:rsidRPr="0028524B" w:rsidRDefault="0028524B" w:rsidP="002852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52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28524B" w:rsidRPr="0028524B" w:rsidRDefault="002852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52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28524B" w:rsidRPr="0028524B" w:rsidRDefault="002852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52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28524B" w:rsidRPr="0028524B" w:rsidRDefault="002852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52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28524B" w:rsidRPr="0028524B" w:rsidRDefault="002852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52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Monto de Operaciones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Cajeros Automáticos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334.160.054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45.838.697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379.998.751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110.480.150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Oficinas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283.109.569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25.909.696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309.019.265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1.545.249.728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Datáfonos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256.855.300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11.612.156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268.467.456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44.250.734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Corresponsales Bancarios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228.061.917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228.061.917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34.372.211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Internet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190.459.462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1.034.580.214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1.225.039.676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1.240.565.545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57.340.222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57.340.222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520.417.273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Pagos Automáticos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53.016.796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53.016.796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27.437.633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Telefonía Móvil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20.697.027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121.473.965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142.170.992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4.818.178</w:t>
            </w:r>
          </w:p>
        </w:tc>
      </w:tr>
      <w:tr w:rsidR="00110D84" w:rsidRPr="0028524B" w:rsidTr="007F61C7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Audio Respuesta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2.441.514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57.192.579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59.634.093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10D84">
              <w:rPr>
                <w:rFonts w:ascii="Arial" w:hAnsi="Arial" w:cs="Arial"/>
                <w:color w:val="000000"/>
                <w:sz w:val="18"/>
                <w:szCs w:val="22"/>
              </w:rPr>
              <w:t>1.136.605</w:t>
            </w:r>
          </w:p>
        </w:tc>
      </w:tr>
      <w:tr w:rsidR="00110D84" w:rsidRPr="0028524B" w:rsidTr="0082475D">
        <w:trPr>
          <w:trHeight w:val="340"/>
        </w:trPr>
        <w:tc>
          <w:tcPr>
            <w:tcW w:w="2283" w:type="dxa"/>
            <w:shd w:val="clear" w:color="auto" w:fill="31849B" w:themeFill="accent5" w:themeFillShade="BF"/>
            <w:vAlign w:val="center"/>
            <w:hideMark/>
          </w:tcPr>
          <w:p w:rsidR="00110D84" w:rsidRPr="0028524B" w:rsidRDefault="00110D84" w:rsidP="006A029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52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6A029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10D8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1.426.141.861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10D8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1.296.607.307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10D8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2.722.749.168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110D84" w:rsidRPr="00110D84" w:rsidRDefault="00110D8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10D8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3.528.728.057</w:t>
            </w:r>
          </w:p>
        </w:tc>
      </w:tr>
    </w:tbl>
    <w:p w:rsidR="0028524B" w:rsidRDefault="0028524B" w:rsidP="0028524B">
      <w:pPr>
        <w:rPr>
          <w:rFonts w:ascii="Arial" w:hAnsi="Arial" w:cs="Arial"/>
          <w:b/>
          <w:sz w:val="16"/>
          <w:szCs w:val="22"/>
        </w:rPr>
      </w:pPr>
    </w:p>
    <w:p w:rsidR="0028524B" w:rsidRDefault="0028524B" w:rsidP="00100E16">
      <w:pPr>
        <w:ind w:left="4956" w:firstLine="708"/>
        <w:jc w:val="center"/>
        <w:rPr>
          <w:rFonts w:ascii="Arial" w:hAnsi="Arial" w:cs="Arial"/>
          <w:b/>
          <w:sz w:val="16"/>
          <w:szCs w:val="22"/>
        </w:rPr>
      </w:pPr>
    </w:p>
    <w:p w:rsidR="00CB0B31" w:rsidRDefault="00FC3271" w:rsidP="00235284">
      <w:pPr>
        <w:pStyle w:val="Ttulo1"/>
        <w:numPr>
          <w:ilvl w:val="0"/>
          <w:numId w:val="10"/>
        </w:numPr>
        <w:spacing w:before="0" w:after="0"/>
        <w:ind w:left="567" w:hanging="567"/>
        <w:jc w:val="both"/>
        <w:rPr>
          <w:sz w:val="24"/>
          <w:szCs w:val="24"/>
        </w:rPr>
      </w:pPr>
      <w:bookmarkStart w:id="32" w:name="_Toc256582629"/>
      <w:bookmarkStart w:id="33" w:name="_Toc413319443"/>
      <w:bookmarkStart w:id="34" w:name="_Toc413319748"/>
      <w:bookmarkStart w:id="35" w:name="_Toc413320298"/>
      <w:bookmarkStart w:id="36" w:name="_Toc491787001"/>
      <w:r>
        <w:rPr>
          <w:sz w:val="24"/>
          <w:szCs w:val="24"/>
        </w:rPr>
        <w:t>Comparativo Semestral por Tipo de Canal</w:t>
      </w:r>
      <w:bookmarkEnd w:id="32"/>
      <w:bookmarkEnd w:id="33"/>
      <w:bookmarkEnd w:id="34"/>
      <w:bookmarkEnd w:id="35"/>
      <w:bookmarkEnd w:id="36"/>
    </w:p>
    <w:p w:rsidR="00A95BBB" w:rsidRPr="00563906" w:rsidRDefault="00A95BBB" w:rsidP="00A95BBB">
      <w:pPr>
        <w:rPr>
          <w:rFonts w:ascii="Arial" w:hAnsi="Arial" w:cs="Arial"/>
        </w:rPr>
      </w:pPr>
    </w:p>
    <w:p w:rsidR="00A95BBB" w:rsidRDefault="00A95BBB" w:rsidP="00235284">
      <w:pPr>
        <w:pStyle w:val="Ttulo1"/>
        <w:numPr>
          <w:ilvl w:val="1"/>
          <w:numId w:val="19"/>
        </w:numPr>
        <w:spacing w:before="0" w:after="0"/>
        <w:ind w:left="567" w:hanging="567"/>
        <w:jc w:val="both"/>
        <w:rPr>
          <w:sz w:val="24"/>
          <w:szCs w:val="24"/>
        </w:rPr>
      </w:pPr>
      <w:bookmarkStart w:id="37" w:name="_Toc491787002"/>
      <w:bookmarkStart w:id="38" w:name="_Toc413319444"/>
      <w:bookmarkStart w:id="39" w:name="_Toc413319749"/>
      <w:bookmarkStart w:id="40" w:name="_Toc413320299"/>
      <w:r w:rsidRPr="00A95BBB">
        <w:rPr>
          <w:sz w:val="24"/>
          <w:szCs w:val="24"/>
        </w:rPr>
        <w:lastRenderedPageBreak/>
        <w:t>Comparativo Semestral Número de Operaciones</w:t>
      </w:r>
      <w:r w:rsidR="00B15693">
        <w:rPr>
          <w:sz w:val="24"/>
          <w:szCs w:val="24"/>
        </w:rPr>
        <w:t xml:space="preserve"> (monetarias y no </w:t>
      </w:r>
      <w:r w:rsidR="00B15693" w:rsidRPr="00615DF2">
        <w:rPr>
          <w:sz w:val="24"/>
          <w:szCs w:val="24"/>
        </w:rPr>
        <w:t>monetarias)</w:t>
      </w:r>
      <w:bookmarkEnd w:id="37"/>
      <w:r w:rsidRPr="00A95BBB">
        <w:rPr>
          <w:sz w:val="24"/>
          <w:szCs w:val="24"/>
        </w:rPr>
        <w:t xml:space="preserve"> </w:t>
      </w:r>
      <w:bookmarkEnd w:id="38"/>
      <w:bookmarkEnd w:id="39"/>
      <w:bookmarkEnd w:id="40"/>
    </w:p>
    <w:p w:rsidR="00CB0B31" w:rsidRDefault="00CB0B31" w:rsidP="005F4E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191"/>
        <w:gridCol w:w="1191"/>
        <w:gridCol w:w="1164"/>
        <w:gridCol w:w="1164"/>
        <w:gridCol w:w="1164"/>
        <w:gridCol w:w="1164"/>
        <w:gridCol w:w="1164"/>
      </w:tblGrid>
      <w:tr w:rsidR="00CC4C7B" w:rsidRPr="00EF75A8" w:rsidTr="0082475D">
        <w:trPr>
          <w:trHeight w:val="510"/>
        </w:trPr>
        <w:tc>
          <w:tcPr>
            <w:tcW w:w="1361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divId w:val="1049301034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Canal</w:t>
            </w:r>
          </w:p>
        </w:tc>
        <w:tc>
          <w:tcPr>
            <w:tcW w:w="1191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1er Semestre de 2014</w:t>
            </w:r>
          </w:p>
        </w:tc>
        <w:tc>
          <w:tcPr>
            <w:tcW w:w="1191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2do Semestre de 2014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1er Semestre de 2015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2do Semestre de 2015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1er Semestre de 2016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2do Semestre de 2016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CC4C7B" w:rsidRPr="00CC4C7B" w:rsidRDefault="00CC4C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CC4C7B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1er Semestre de 2017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Internet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630.351.338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746.294.812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863.468.597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1.041.034.723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1.119.286.723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1.175.845.067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1.225.039.676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Cajeros Automáticos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332.660.931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372.832.240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351.323.750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379.853.467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363.828.507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396.418.763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379.998.751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Oficinas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346.002.796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354.641.628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319.786.678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335.597.529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339.028.529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316.486.403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309.019.265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Datáfonos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188.417.539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224.740.553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214.790.145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245.158.001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243.903.348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272.710.489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268.467.456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Corresponsales Bancarios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54.864.357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63.631.217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68.552.305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78.979.131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84.891.798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99.184.597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228.061.917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Telefonía Móvil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50.138.804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68.876.098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62.869.331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69.942.563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84.547.821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112.783.577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142.170.992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Audio Respuesta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45.336.664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49.119.376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45.761.422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47.429.011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47.889.422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50.560.470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59.634.093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ACH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45.882.456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50.373.695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48.467.183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53.127.173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53.979.436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57.954.504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57.340.222</w:t>
            </w:r>
          </w:p>
        </w:tc>
      </w:tr>
      <w:tr w:rsidR="00CC4C7B" w:rsidRPr="00EF75A8" w:rsidTr="00E52B2E">
        <w:trPr>
          <w:trHeight w:val="283"/>
        </w:trPr>
        <w:tc>
          <w:tcPr>
            <w:tcW w:w="136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Pagos Automáticos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45.011.752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47.604.441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45.398.296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48.527.641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52.282.066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54.553.829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C4C7B" w:rsidRPr="00CC4C7B" w:rsidRDefault="00CC4C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4C7B">
              <w:rPr>
                <w:rFonts w:ascii="Arial" w:hAnsi="Arial" w:cs="Arial"/>
                <w:color w:val="000000"/>
                <w:sz w:val="14"/>
                <w:szCs w:val="14"/>
              </w:rPr>
              <w:t>53.016.796</w:t>
            </w:r>
          </w:p>
        </w:tc>
      </w:tr>
      <w:tr w:rsidR="00E52B2E" w:rsidRPr="00EF75A8" w:rsidTr="0082475D">
        <w:trPr>
          <w:trHeight w:val="283"/>
        </w:trPr>
        <w:tc>
          <w:tcPr>
            <w:tcW w:w="1361" w:type="dxa"/>
            <w:shd w:val="clear" w:color="auto" w:fill="31849B" w:themeFill="accent5" w:themeFillShade="BF"/>
            <w:vAlign w:val="center"/>
            <w:hideMark/>
          </w:tcPr>
          <w:p w:rsidR="00E52B2E" w:rsidRPr="00EF75A8" w:rsidRDefault="00E52B2E" w:rsidP="00F351A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F75A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</w:t>
            </w:r>
            <w:r w:rsidR="00F351A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otal</w:t>
            </w:r>
          </w:p>
        </w:tc>
        <w:tc>
          <w:tcPr>
            <w:tcW w:w="1191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1.738.666.637</w:t>
            </w:r>
          </w:p>
        </w:tc>
        <w:tc>
          <w:tcPr>
            <w:tcW w:w="1191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1.978.114.060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2.020.417.707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2.299.649.239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2.389.637.650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2.536.497.699</w:t>
            </w:r>
          </w:p>
        </w:tc>
        <w:tc>
          <w:tcPr>
            <w:tcW w:w="1164" w:type="dxa"/>
            <w:shd w:val="clear" w:color="auto" w:fill="31849B" w:themeFill="accent5" w:themeFillShade="BF"/>
            <w:vAlign w:val="center"/>
            <w:hideMark/>
          </w:tcPr>
          <w:p w:rsidR="00E52B2E" w:rsidRPr="00E52B2E" w:rsidRDefault="00E52B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</w:pPr>
            <w:r w:rsidRPr="00E52B2E">
              <w:rPr>
                <w:rFonts w:ascii="Arial" w:hAnsi="Arial" w:cs="Arial"/>
                <w:b/>
                <w:bCs/>
                <w:color w:val="FFFFFF"/>
                <w:sz w:val="16"/>
                <w:szCs w:val="22"/>
              </w:rPr>
              <w:t>2.722.749.168</w:t>
            </w:r>
          </w:p>
        </w:tc>
      </w:tr>
    </w:tbl>
    <w:p w:rsidR="00F83BA0" w:rsidRDefault="00F83BA0" w:rsidP="005F4E85">
      <w:pPr>
        <w:jc w:val="both"/>
        <w:rPr>
          <w:rFonts w:ascii="Arial" w:hAnsi="Arial" w:cs="Arial"/>
          <w:sz w:val="22"/>
          <w:szCs w:val="22"/>
        </w:rPr>
      </w:pPr>
    </w:p>
    <w:p w:rsidR="00F351A7" w:rsidRDefault="00F351A7" w:rsidP="005F4E85">
      <w:pPr>
        <w:jc w:val="both"/>
        <w:rPr>
          <w:rFonts w:ascii="Arial" w:hAnsi="Arial" w:cs="Arial"/>
          <w:sz w:val="22"/>
          <w:szCs w:val="22"/>
        </w:rPr>
      </w:pPr>
    </w:p>
    <w:p w:rsidR="00F351A7" w:rsidRDefault="00F351A7" w:rsidP="005F4E85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071EDC53" wp14:editId="3144EEFD">
            <wp:extent cx="5951220" cy="4107180"/>
            <wp:effectExtent l="0" t="0" r="0" b="762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51A7" w:rsidRDefault="00F351A7" w:rsidP="005F4E85">
      <w:pPr>
        <w:jc w:val="both"/>
        <w:rPr>
          <w:rFonts w:ascii="Arial" w:hAnsi="Arial" w:cs="Arial"/>
          <w:sz w:val="22"/>
          <w:szCs w:val="22"/>
        </w:rPr>
      </w:pPr>
    </w:p>
    <w:p w:rsidR="00752EB9" w:rsidRPr="00C83431" w:rsidRDefault="00752EB9" w:rsidP="00752EB9">
      <w:pPr>
        <w:rPr>
          <w:rFonts w:ascii="Arial" w:hAnsi="Arial" w:cs="Arial"/>
          <w:b/>
        </w:rPr>
      </w:pPr>
      <w:r w:rsidRPr="00B54888">
        <w:rPr>
          <w:rFonts w:ascii="Arial" w:hAnsi="Arial" w:cs="Arial"/>
          <w:b/>
        </w:rPr>
        <w:t>Participación Porcentual</w:t>
      </w:r>
    </w:p>
    <w:p w:rsidR="00910436" w:rsidRDefault="00910436" w:rsidP="00752EB9">
      <w:pPr>
        <w:rPr>
          <w:rFonts w:ascii="Arial" w:hAnsi="Arial" w:cs="Arial"/>
          <w:b/>
          <w:sz w:val="22"/>
        </w:rPr>
      </w:pPr>
    </w:p>
    <w:tbl>
      <w:tblPr>
        <w:tblW w:w="8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77"/>
        <w:gridCol w:w="1077"/>
        <w:gridCol w:w="1077"/>
        <w:gridCol w:w="1077"/>
        <w:gridCol w:w="1077"/>
        <w:gridCol w:w="1077"/>
        <w:gridCol w:w="951"/>
      </w:tblGrid>
      <w:tr w:rsidR="00910436" w:rsidRPr="008C2D34" w:rsidTr="004F5C65">
        <w:trPr>
          <w:trHeight w:val="397"/>
        </w:trPr>
        <w:tc>
          <w:tcPr>
            <w:tcW w:w="88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 de Operaciones Monetarias y no Monetarias por Canal</w:t>
            </w:r>
          </w:p>
        </w:tc>
      </w:tr>
      <w:tr w:rsidR="00910436" w:rsidRPr="008C2D34" w:rsidTr="004F5C65">
        <w:trPr>
          <w:trHeight w:val="360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Canal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 w:rsidP="00982A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 w:rsidP="00982A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 w:rsidP="00982A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 w:rsidP="00982A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 w:rsidP="00982A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910436" w:rsidRPr="008C2D34" w:rsidRDefault="00910436" w:rsidP="00982A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Internet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36,26%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37,73%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42,74%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45,27%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46,84%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46,36%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44,99%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Cajeros Automáticos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19,13%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18,85%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17,39%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16,52%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15,22%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15,63%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13,96%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Oficinas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19,90%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17,93%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15,83%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14,59%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14,19%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12,48%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11,35%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Datáfonos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10,84%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11,36%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10,63%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10,66%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10,21%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10,75%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9,86%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Corresponsales Bancarios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3,16%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3,22%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3,39%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3,43%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3,55%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3,91%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8,38%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Telefonía Móvil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2,88%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3,48%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3,11%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3,04%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3,54%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4,45%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5,22%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Audio Respuesta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2,61%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2,48%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2,27%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2,06%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2,00%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1,99%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2,19%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ACH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2,64%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2,55%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2,40%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2,31%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2,26%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2,29%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2,11%</w:t>
            </w:r>
          </w:p>
        </w:tc>
      </w:tr>
      <w:tr w:rsidR="00982A2D" w:rsidRPr="008C2D34" w:rsidTr="007051AB">
        <w:trPr>
          <w:trHeight w:val="397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2A2D" w:rsidRPr="00982A2D" w:rsidRDefault="00982A2D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Pagos Automáticos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2,59%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2,41%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2,25%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2,11%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2,19%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2,15%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2A2D" w:rsidRPr="00982A2D" w:rsidRDefault="00982A2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82A2D">
              <w:rPr>
                <w:rFonts w:ascii="Arial" w:hAnsi="Arial" w:cs="Arial"/>
                <w:color w:val="000000"/>
                <w:sz w:val="18"/>
                <w:szCs w:val="16"/>
              </w:rPr>
              <w:t>1,95%</w:t>
            </w:r>
          </w:p>
        </w:tc>
      </w:tr>
      <w:tr w:rsidR="00B54888" w:rsidRPr="008C2D34" w:rsidTr="004F5C65">
        <w:trPr>
          <w:trHeight w:val="454"/>
        </w:trPr>
        <w:tc>
          <w:tcPr>
            <w:tcW w:w="1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982A2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982A2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B54888" w:rsidRPr="008C2D34" w:rsidRDefault="00B5488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2D3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</w:tr>
    </w:tbl>
    <w:p w:rsidR="00910436" w:rsidRDefault="00910436" w:rsidP="00752EB9">
      <w:pPr>
        <w:rPr>
          <w:rFonts w:ascii="Arial" w:hAnsi="Arial" w:cs="Arial"/>
          <w:b/>
          <w:sz w:val="22"/>
        </w:rPr>
      </w:pPr>
    </w:p>
    <w:p w:rsidR="00FC3271" w:rsidRPr="00C83431" w:rsidRDefault="00E03982" w:rsidP="00235284">
      <w:pPr>
        <w:pStyle w:val="Ttulo1"/>
        <w:numPr>
          <w:ilvl w:val="1"/>
          <w:numId w:val="19"/>
        </w:numPr>
        <w:spacing w:before="0" w:after="0"/>
        <w:ind w:left="567" w:hanging="567"/>
        <w:jc w:val="both"/>
        <w:rPr>
          <w:sz w:val="24"/>
          <w:szCs w:val="24"/>
        </w:rPr>
      </w:pPr>
      <w:bookmarkStart w:id="41" w:name="_Toc413319445"/>
      <w:bookmarkStart w:id="42" w:name="_Toc413319750"/>
      <w:bookmarkStart w:id="43" w:name="_Toc413320300"/>
      <w:bookmarkStart w:id="44" w:name="_Toc491787003"/>
      <w:r w:rsidRPr="004F5C65">
        <w:rPr>
          <w:sz w:val="24"/>
          <w:szCs w:val="24"/>
        </w:rPr>
        <w:t>C</w:t>
      </w:r>
      <w:r w:rsidRPr="00C83431">
        <w:rPr>
          <w:sz w:val="24"/>
          <w:szCs w:val="24"/>
        </w:rPr>
        <w:t>omparativo Semestral Número de Operaciones Monetarias por Canal</w:t>
      </w:r>
      <w:bookmarkEnd w:id="41"/>
      <w:bookmarkEnd w:id="42"/>
      <w:bookmarkEnd w:id="43"/>
      <w:bookmarkEnd w:id="44"/>
    </w:p>
    <w:p w:rsidR="00257DCC" w:rsidRPr="00563906" w:rsidRDefault="00257DCC" w:rsidP="00257DCC">
      <w:pPr>
        <w:rPr>
          <w:rFonts w:ascii="Arial" w:hAnsi="Arial" w:cs="Arial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64"/>
        <w:gridCol w:w="1164"/>
        <w:gridCol w:w="1164"/>
        <w:gridCol w:w="1164"/>
        <w:gridCol w:w="1164"/>
        <w:gridCol w:w="1164"/>
        <w:gridCol w:w="1164"/>
      </w:tblGrid>
      <w:tr w:rsidR="004F5C65" w:rsidRPr="00257DCC" w:rsidTr="004F5C65">
        <w:trPr>
          <w:trHeight w:val="68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divId w:val="132135043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Canal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2016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2016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2017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Cajeros Automáticos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289.782.857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325.352.640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306.149.079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333.734.266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318.625.110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349.742.331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334.160.054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Oficinas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325.797.460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336.363.420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302.091.160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310.390.060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313.096.138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287.542.426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283.109.569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Datáfonos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180.885.245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216.358.514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205.915.763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236.193.834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235.268.399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260.033.121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256.855.300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Corresponsales Bancarios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54.864.357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63.631.217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68.552.305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78.979.131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84.891.798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99.184.597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228.061.917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116.622.304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134.964.506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148.112.418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165.329.073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166.679.939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186.763.576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190.459.462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45.882.456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50.373.695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48.467.183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53.127.173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53.979.436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57.954.504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57.340.222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Pagos Automáticos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45.011.752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47.604.441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45.398.296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48.527.641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52.282.066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54.553.829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53.016.796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Telefonía Móvil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8.234.676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11.566.073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13.156.145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14.455.540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14.164.207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19.280.042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20.697.027</w:t>
            </w:r>
          </w:p>
        </w:tc>
      </w:tr>
      <w:tr w:rsidR="004F5C65" w:rsidRPr="00257DCC" w:rsidTr="0056390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Audio Respuesta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2.997.223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3.250.894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2.939.100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2.936.887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2.515.304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2.583.867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C65">
              <w:rPr>
                <w:rFonts w:ascii="Arial" w:hAnsi="Arial" w:cs="Arial"/>
                <w:color w:val="000000"/>
                <w:sz w:val="16"/>
                <w:szCs w:val="16"/>
              </w:rPr>
              <w:t>2.441.514</w:t>
            </w:r>
          </w:p>
        </w:tc>
      </w:tr>
      <w:tr w:rsidR="004F5C65" w:rsidRPr="00257DCC" w:rsidTr="004F5C65">
        <w:trPr>
          <w:trHeight w:val="56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1.070.078.330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1.189.465.400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1.140.781.449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1.243.673.605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1.241.502.397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1.317.638.293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4F5C65" w:rsidRPr="004F5C65" w:rsidRDefault="004F5C6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F5C6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1.426.141.861</w:t>
            </w:r>
          </w:p>
        </w:tc>
      </w:tr>
    </w:tbl>
    <w:p w:rsidR="007D4FD2" w:rsidRPr="007D4FD2" w:rsidRDefault="007D4FD2" w:rsidP="00257DCC">
      <w:pPr>
        <w:rPr>
          <w:rFonts w:ascii="Arial" w:hAnsi="Arial" w:cs="Arial"/>
        </w:rPr>
      </w:pPr>
    </w:p>
    <w:p w:rsidR="004F5C65" w:rsidRDefault="004F5C65" w:rsidP="007D4FD2"/>
    <w:p w:rsidR="004F5C65" w:rsidRDefault="004F5C65" w:rsidP="007D4FD2">
      <w:r>
        <w:rPr>
          <w:noProof/>
          <w:lang w:val="es-CO" w:eastAsia="es-CO"/>
        </w:rPr>
        <w:lastRenderedPageBreak/>
        <w:drawing>
          <wp:inline distT="0" distB="0" distL="0" distR="0" wp14:anchorId="653D1F52" wp14:editId="74E778E8">
            <wp:extent cx="5648960" cy="3505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5C65" w:rsidRDefault="004F5C65" w:rsidP="007D4FD2"/>
    <w:p w:rsidR="00FC3271" w:rsidRPr="00F82FC2" w:rsidRDefault="00791731" w:rsidP="00670FBB">
      <w:pPr>
        <w:rPr>
          <w:rFonts w:ascii="Arial" w:hAnsi="Arial" w:cs="Arial"/>
          <w:b/>
          <w:sz w:val="22"/>
          <w:szCs w:val="22"/>
        </w:rPr>
      </w:pPr>
      <w:r w:rsidRPr="00F82FC2">
        <w:rPr>
          <w:rFonts w:ascii="Arial" w:hAnsi="Arial" w:cs="Arial"/>
          <w:b/>
          <w:sz w:val="22"/>
          <w:szCs w:val="22"/>
        </w:rPr>
        <w:t>Participación Porcentual</w:t>
      </w:r>
    </w:p>
    <w:p w:rsidR="00FC3271" w:rsidRDefault="00FC3271" w:rsidP="005F4E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20"/>
        <w:gridCol w:w="1020"/>
        <w:gridCol w:w="1020"/>
        <w:gridCol w:w="1020"/>
        <w:gridCol w:w="1020"/>
        <w:gridCol w:w="1020"/>
        <w:gridCol w:w="1020"/>
      </w:tblGrid>
      <w:tr w:rsidR="00670FBB" w:rsidRPr="007969B8" w:rsidTr="00670FBB">
        <w:trPr>
          <w:trHeight w:val="675"/>
        </w:trPr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2014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2014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2015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2015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2016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2016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2017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Cajeros Automáticos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27,08%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27,35%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26,84%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26,84%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25,66%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26,54%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23,43%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Oficinas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30,45%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28,28%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26,48%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24,96%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25,22%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21,82%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19,85%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Datáfonos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16,90%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18,19%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18,05%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18,99%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18,95%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19,73%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18,01%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Corresponsales Bancarios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5,13%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5,35%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6,01%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6,35%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6,84%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7,53%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15,99%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10,90%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11,35%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12,98%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13,29%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13,43%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14,17%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13,36%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4,29%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4,24%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4,25%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4,27%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4,35%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4,40%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4,02%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Pagos Automáticos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4,21%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4,00%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3,98%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3,90%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4,21%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4,14%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3,72%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Telefonía Móvil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0,97%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1,46%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1,45%</w:t>
            </w:r>
          </w:p>
        </w:tc>
      </w:tr>
      <w:tr w:rsidR="00670FBB" w:rsidRPr="007969B8" w:rsidTr="007969B8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Audio Respuesta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0,28%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0,27%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0,24%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0,20%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0,20%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</w:tr>
      <w:tr w:rsidR="007969B8" w:rsidRPr="007969B8" w:rsidTr="00670FBB">
        <w:trPr>
          <w:trHeight w:val="397"/>
        </w:trPr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670FB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7969B8" w:rsidRPr="007969B8" w:rsidRDefault="007969B8" w:rsidP="007969B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</w:tr>
    </w:tbl>
    <w:p w:rsidR="00163D7A" w:rsidRDefault="00163D7A" w:rsidP="005F4E85">
      <w:pPr>
        <w:jc w:val="both"/>
        <w:rPr>
          <w:rFonts w:ascii="Arial" w:hAnsi="Arial" w:cs="Arial"/>
          <w:sz w:val="22"/>
          <w:szCs w:val="22"/>
        </w:rPr>
      </w:pPr>
    </w:p>
    <w:p w:rsidR="00316275" w:rsidRDefault="00316275" w:rsidP="005F4E85">
      <w:pPr>
        <w:jc w:val="both"/>
        <w:rPr>
          <w:rFonts w:ascii="Arial" w:hAnsi="Arial" w:cs="Arial"/>
          <w:sz w:val="22"/>
          <w:szCs w:val="22"/>
        </w:rPr>
      </w:pPr>
    </w:p>
    <w:p w:rsidR="00FC3271" w:rsidRDefault="00751763" w:rsidP="00235284">
      <w:pPr>
        <w:pStyle w:val="Ttulo1"/>
        <w:numPr>
          <w:ilvl w:val="1"/>
          <w:numId w:val="20"/>
        </w:numPr>
        <w:spacing w:before="0" w:after="0"/>
        <w:ind w:left="567" w:hanging="567"/>
        <w:jc w:val="both"/>
        <w:rPr>
          <w:sz w:val="24"/>
          <w:szCs w:val="24"/>
        </w:rPr>
      </w:pPr>
      <w:bookmarkStart w:id="45" w:name="_Toc413319446"/>
      <w:bookmarkStart w:id="46" w:name="_Toc413319751"/>
      <w:bookmarkStart w:id="47" w:name="_Toc413320301"/>
      <w:bookmarkStart w:id="48" w:name="_Toc491787004"/>
      <w:r w:rsidRPr="00751763">
        <w:rPr>
          <w:sz w:val="24"/>
          <w:szCs w:val="24"/>
        </w:rPr>
        <w:t>Comparativo Semestral Número de Operaciones no Monetarias por Canal</w:t>
      </w:r>
      <w:bookmarkEnd w:id="45"/>
      <w:bookmarkEnd w:id="46"/>
      <w:bookmarkEnd w:id="47"/>
      <w:bookmarkEnd w:id="48"/>
      <w:r w:rsidRPr="00751763">
        <w:rPr>
          <w:sz w:val="24"/>
          <w:szCs w:val="24"/>
        </w:rPr>
        <w:t xml:space="preserve"> </w:t>
      </w:r>
    </w:p>
    <w:p w:rsidR="007E1F29" w:rsidRPr="00163D7A" w:rsidRDefault="007E1F29" w:rsidP="007E1F29">
      <w:pPr>
        <w:rPr>
          <w:rFonts w:ascii="Arial" w:hAnsi="Arial" w:cs="Arial"/>
        </w:rPr>
      </w:pPr>
    </w:p>
    <w:tbl>
      <w:tblPr>
        <w:tblW w:w="91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020"/>
        <w:gridCol w:w="10"/>
        <w:gridCol w:w="1010"/>
        <w:gridCol w:w="20"/>
        <w:gridCol w:w="1000"/>
        <w:gridCol w:w="30"/>
        <w:gridCol w:w="1134"/>
        <w:gridCol w:w="30"/>
        <w:gridCol w:w="1161"/>
        <w:gridCol w:w="30"/>
        <w:gridCol w:w="1247"/>
        <w:gridCol w:w="1191"/>
      </w:tblGrid>
      <w:tr w:rsidR="00633A96" w:rsidRPr="00885609" w:rsidTr="00316275">
        <w:trPr>
          <w:trHeight w:val="68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center"/>
              <w:divId w:val="1435518513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Canal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2014</w:t>
            </w: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2014</w:t>
            </w: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2015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2015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1er </w:t>
            </w:r>
          </w:p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Semestre de 2016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2do </w:t>
            </w:r>
          </w:p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Semestre de 2016</w:t>
            </w: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1er </w:t>
            </w:r>
          </w:p>
          <w:p w:rsidR="00633A96" w:rsidRPr="00633A96" w:rsidRDefault="00633A9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Semestre de 2017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513.729.034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611.330.306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715.356.179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875.705.650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952.606.784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989.081.491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1.034.580.214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Telefonía Móvil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41.904.128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57.310.025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49.713.186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55.487.023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70.383.614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93.503.535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121.473.965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Audio Respuesta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42.339.441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45.868.482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42.822.322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44.492.124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45.374.118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47.976.603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57.192.579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Cajeros Automáticos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42.878.074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47.479.600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45.174.671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46.119.201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45.203.397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46.676.432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45.838.697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Oficinas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20.205.336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18.278.208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17.695.518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25.207.469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25.932.391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28.943.977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25.909.696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Datáfonos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7.532.294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8.382.039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8.874.382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8.964.167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8.634.949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12.677.368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11.612.156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Corresponsales Bancarios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Pagos Automáticos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3A96" w:rsidRPr="00633A96" w:rsidRDefault="00633A96" w:rsidP="00863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A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33A96" w:rsidRPr="00885609" w:rsidTr="00633A96">
        <w:trPr>
          <w:trHeight w:val="397"/>
        </w:trPr>
        <w:tc>
          <w:tcPr>
            <w:tcW w:w="1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668.588.307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788.648.660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879.636.258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1.055.975.634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1.148.135.253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1.218.859.406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  <w:hideMark/>
          </w:tcPr>
          <w:p w:rsidR="00633A96" w:rsidRPr="00633A96" w:rsidRDefault="00633A9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3A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1.296.607.307</w:t>
            </w:r>
          </w:p>
        </w:tc>
      </w:tr>
    </w:tbl>
    <w:p w:rsidR="00633A96" w:rsidRDefault="00633A96" w:rsidP="005F4E85">
      <w:pPr>
        <w:jc w:val="both"/>
        <w:rPr>
          <w:rFonts w:ascii="Arial" w:hAnsi="Arial" w:cs="Arial"/>
          <w:szCs w:val="22"/>
        </w:rPr>
      </w:pPr>
    </w:p>
    <w:p w:rsidR="00316275" w:rsidRDefault="00316275" w:rsidP="005F4E85">
      <w:pPr>
        <w:jc w:val="both"/>
        <w:rPr>
          <w:rFonts w:ascii="Arial" w:hAnsi="Arial" w:cs="Arial"/>
          <w:szCs w:val="22"/>
        </w:rPr>
      </w:pPr>
    </w:p>
    <w:p w:rsidR="00316275" w:rsidRDefault="00316275" w:rsidP="005F4E85">
      <w:pPr>
        <w:jc w:val="both"/>
        <w:rPr>
          <w:rFonts w:ascii="Arial" w:hAnsi="Arial" w:cs="Arial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3F148D01" wp14:editId="12723D07">
            <wp:extent cx="5820507" cy="3716216"/>
            <wp:effectExtent l="0" t="0" r="889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3A96" w:rsidRDefault="00633A96" w:rsidP="005F4E85">
      <w:pPr>
        <w:jc w:val="both"/>
        <w:rPr>
          <w:rFonts w:ascii="Arial" w:hAnsi="Arial" w:cs="Arial"/>
          <w:szCs w:val="22"/>
        </w:rPr>
      </w:pPr>
    </w:p>
    <w:p w:rsidR="00357727" w:rsidRDefault="0043054D" w:rsidP="005F4E85">
      <w:pPr>
        <w:jc w:val="both"/>
        <w:rPr>
          <w:rFonts w:ascii="Arial" w:hAnsi="Arial" w:cs="Arial"/>
          <w:b/>
          <w:sz w:val="22"/>
          <w:szCs w:val="22"/>
        </w:rPr>
      </w:pPr>
      <w:r w:rsidRPr="0043054D">
        <w:rPr>
          <w:rFonts w:ascii="Arial" w:hAnsi="Arial" w:cs="Arial"/>
          <w:b/>
          <w:sz w:val="22"/>
          <w:szCs w:val="22"/>
        </w:rPr>
        <w:t>Participación Porcentual</w:t>
      </w:r>
    </w:p>
    <w:p w:rsidR="00B44786" w:rsidRPr="00163D7A" w:rsidRDefault="00B44786" w:rsidP="005F4E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3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34"/>
        <w:gridCol w:w="1134"/>
        <w:gridCol w:w="1134"/>
        <w:gridCol w:w="1134"/>
        <w:gridCol w:w="1134"/>
        <w:gridCol w:w="1134"/>
        <w:gridCol w:w="1134"/>
      </w:tblGrid>
      <w:tr w:rsidR="00B44786" w:rsidRPr="00B44786" w:rsidTr="00F3407B">
        <w:trPr>
          <w:trHeight w:val="510"/>
        </w:trPr>
        <w:tc>
          <w:tcPr>
            <w:tcW w:w="9339" w:type="dxa"/>
            <w:gridSpan w:val="8"/>
            <w:shd w:val="clear" w:color="auto" w:fill="31849B" w:themeFill="accent5" w:themeFillShade="BF"/>
            <w:vAlign w:val="center"/>
            <w:hideMark/>
          </w:tcPr>
          <w:p w:rsidR="00B44786" w:rsidRPr="00B44786" w:rsidRDefault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 de Operaciones no Monetarias por Canal</w:t>
            </w:r>
          </w:p>
        </w:tc>
      </w:tr>
      <w:tr w:rsidR="00F3407B" w:rsidRPr="00B44786" w:rsidTr="00F3407B">
        <w:trPr>
          <w:trHeight w:val="737"/>
        </w:trPr>
        <w:tc>
          <w:tcPr>
            <w:tcW w:w="1401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divId w:val="81294126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Canal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2014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2014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2015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2015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2016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2016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F3407B" w:rsidRPr="00F3407B" w:rsidRDefault="00F340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2017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76,84%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77,52%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81,32%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82,93%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82,97%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81,15%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79,79%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Telefonía Móvil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6,27%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7,27%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5,65%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5,25%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6,13%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7,67%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9,37%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Audio Respuesta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6,33%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5,82%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4,87%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4,21%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3,95%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3,94%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4,41%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Cajeros Automáticos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6,41%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6,02%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5,14%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4,37%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3,94%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3,83%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3,54%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Oficinas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3,02%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2,32%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2,01%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2,39%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2,26%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2,38%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1,10%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Datáfonos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1,13%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1,06%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1,01%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0,85%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1,04%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0,90%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Corresponsales Bancarios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F3407B" w:rsidRPr="00B44786" w:rsidTr="00B44786">
        <w:trPr>
          <w:trHeight w:val="397"/>
        </w:trPr>
        <w:tc>
          <w:tcPr>
            <w:tcW w:w="1401" w:type="dxa"/>
            <w:shd w:val="clear" w:color="auto" w:fill="auto"/>
            <w:vAlign w:val="center"/>
            <w:hideMark/>
          </w:tcPr>
          <w:p w:rsidR="00F3407B" w:rsidRPr="00F3407B" w:rsidRDefault="00F340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Pagos Automáticos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07B" w:rsidRPr="00F3407B" w:rsidRDefault="00F340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07B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B44786" w:rsidRPr="00B44786" w:rsidTr="00F3407B">
        <w:trPr>
          <w:trHeight w:val="510"/>
        </w:trPr>
        <w:tc>
          <w:tcPr>
            <w:tcW w:w="1401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F3407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F340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B44786" w:rsidRPr="00B44786" w:rsidRDefault="00B44786" w:rsidP="00B4478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4478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</w:tr>
    </w:tbl>
    <w:p w:rsidR="000F0336" w:rsidRPr="00163D7A" w:rsidRDefault="000F0336" w:rsidP="005F4E85">
      <w:pPr>
        <w:jc w:val="both"/>
        <w:rPr>
          <w:rFonts w:ascii="Arial" w:hAnsi="Arial" w:cs="Arial"/>
          <w:szCs w:val="22"/>
        </w:rPr>
      </w:pPr>
    </w:p>
    <w:p w:rsidR="00357727" w:rsidRDefault="00480AEA" w:rsidP="00235284">
      <w:pPr>
        <w:pStyle w:val="Ttulo1"/>
        <w:numPr>
          <w:ilvl w:val="1"/>
          <w:numId w:val="21"/>
        </w:numPr>
        <w:spacing w:before="0" w:after="0"/>
        <w:ind w:left="567" w:hanging="567"/>
        <w:jc w:val="both"/>
        <w:rPr>
          <w:sz w:val="24"/>
          <w:szCs w:val="24"/>
        </w:rPr>
      </w:pPr>
      <w:bookmarkStart w:id="49" w:name="_Toc413319447"/>
      <w:bookmarkStart w:id="50" w:name="_Toc413319752"/>
      <w:bookmarkStart w:id="51" w:name="_Toc413320302"/>
      <w:bookmarkStart w:id="52" w:name="_Toc491787005"/>
      <w:r w:rsidRPr="00480AEA">
        <w:rPr>
          <w:sz w:val="24"/>
          <w:szCs w:val="24"/>
        </w:rPr>
        <w:t>Comparativo Semestral Monto de Operaciones por Canal</w:t>
      </w:r>
      <w:bookmarkEnd w:id="49"/>
      <w:bookmarkEnd w:id="50"/>
      <w:bookmarkEnd w:id="51"/>
      <w:bookmarkEnd w:id="52"/>
    </w:p>
    <w:p w:rsidR="00C20908" w:rsidRPr="00163D7A" w:rsidRDefault="00C20908" w:rsidP="00C20908">
      <w:pPr>
        <w:rPr>
          <w:rFonts w:ascii="Arial" w:hAnsi="Arial" w:cs="Arial"/>
        </w:rPr>
      </w:pPr>
    </w:p>
    <w:p w:rsidR="00357727" w:rsidRDefault="001E1728" w:rsidP="001C1AA4">
      <w:pPr>
        <w:ind w:left="7655" w:hanging="709"/>
        <w:jc w:val="right"/>
        <w:rPr>
          <w:rFonts w:ascii="Arial" w:hAnsi="Arial" w:cs="Arial"/>
          <w:b/>
          <w:sz w:val="14"/>
          <w:szCs w:val="14"/>
        </w:rPr>
      </w:pPr>
      <w:r w:rsidRPr="00212CE6">
        <w:rPr>
          <w:rFonts w:ascii="Arial" w:hAnsi="Arial" w:cs="Arial"/>
          <w:b/>
          <w:sz w:val="14"/>
          <w:szCs w:val="14"/>
        </w:rPr>
        <w:t>Cifras en millones de pesos</w:t>
      </w:r>
    </w:p>
    <w:tbl>
      <w:tblPr>
        <w:tblW w:w="10389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89"/>
        <w:gridCol w:w="1304"/>
        <w:gridCol w:w="1304"/>
        <w:gridCol w:w="1304"/>
        <w:gridCol w:w="1304"/>
        <w:gridCol w:w="1304"/>
        <w:gridCol w:w="1304"/>
      </w:tblGrid>
      <w:tr w:rsidR="00A743F2" w:rsidRPr="007F3D35" w:rsidTr="00A743F2">
        <w:trPr>
          <w:trHeight w:val="680"/>
        </w:trPr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divId w:val="1233151748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Canal</w:t>
            </w:r>
          </w:p>
        </w:tc>
        <w:tc>
          <w:tcPr>
            <w:tcW w:w="1289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2014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2014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2015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2015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2016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2do Semestre de 2016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1er Semestre de 2017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Oficinas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1.578.946.387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1.758.669.044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1.539.915.789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1.635.462.646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1.722.787.375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1.600.755.251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1.545.249.728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880.934.952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994.155.754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1.092.444.471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1.159.302.343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1.193.235.871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1.121.298.218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1.240.565.545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ACH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380.035.162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435.493.586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427.512.694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500.207.660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471.110.061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526.197.196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520.417.273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Cajeros Automáticos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81.999.538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94.530.466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90.862.223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103.822.938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100.404.468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114.351.456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110.480.150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Datáfonos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35.740.137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39.306.941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37.868.718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44.614.482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42.465.347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47.252.352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44.250.734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Corresponsales Bancarios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12.059.805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15.559.123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17.495.541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22.445.468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24.910.209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31.851.431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34.372.211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Pagos Automáticos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22.422.578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26.326.826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25.669.037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29.624.232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25.830.151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25.657.690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27.437.633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Telefonía Móvil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381.399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542.436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850.364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1.628.927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2.318.556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3.902.766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4.818.178</w:t>
            </w:r>
          </w:p>
        </w:tc>
      </w:tr>
      <w:tr w:rsidR="00A743F2" w:rsidRPr="007F3D35" w:rsidTr="00163D7A">
        <w:trPr>
          <w:trHeight w:val="397"/>
        </w:trPr>
        <w:tc>
          <w:tcPr>
            <w:tcW w:w="1276" w:type="dxa"/>
            <w:shd w:val="clear" w:color="auto" w:fill="auto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Audio Respuesta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1.199.289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1.167.145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1.015.870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1.046.629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1.134.160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1.346.768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1.136.605</w:t>
            </w:r>
          </w:p>
        </w:tc>
      </w:tr>
      <w:tr w:rsidR="00A743F2" w:rsidRPr="007F3D35" w:rsidTr="00A743F2">
        <w:trPr>
          <w:trHeight w:val="510"/>
        </w:trPr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289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$2.993.719.247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$3.365.751.321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$3.233.634.707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$3.498.155.325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$3.584.196.198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$3.472.613.128</w:t>
            </w:r>
          </w:p>
        </w:tc>
        <w:tc>
          <w:tcPr>
            <w:tcW w:w="1304" w:type="dxa"/>
            <w:shd w:val="clear" w:color="auto" w:fill="31849B" w:themeFill="accent5" w:themeFillShade="BF"/>
            <w:vAlign w:val="center"/>
            <w:hideMark/>
          </w:tcPr>
          <w:p w:rsidR="00A743F2" w:rsidRDefault="00A743F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$3.528.728.057</w:t>
            </w:r>
          </w:p>
        </w:tc>
      </w:tr>
    </w:tbl>
    <w:p w:rsidR="00FE6331" w:rsidRDefault="00FE6331" w:rsidP="00A75E52">
      <w:pPr>
        <w:rPr>
          <w:rFonts w:ascii="Arial" w:hAnsi="Arial" w:cs="Arial"/>
        </w:rPr>
      </w:pPr>
    </w:p>
    <w:p w:rsidR="00453054" w:rsidRDefault="00453054" w:rsidP="00A75E52">
      <w:pPr>
        <w:rPr>
          <w:rFonts w:ascii="Arial" w:hAnsi="Arial" w:cs="Arial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B227B76" wp14:editId="72516EF4">
            <wp:extent cx="5691554" cy="4026877"/>
            <wp:effectExtent l="0" t="0" r="444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3054" w:rsidRDefault="00453054" w:rsidP="00A75E52">
      <w:pPr>
        <w:rPr>
          <w:rFonts w:ascii="Arial" w:hAnsi="Arial" w:cs="Arial"/>
        </w:rPr>
      </w:pPr>
    </w:p>
    <w:p w:rsidR="00996FC4" w:rsidRDefault="00CD52AA" w:rsidP="005F4E85">
      <w:pPr>
        <w:jc w:val="both"/>
        <w:rPr>
          <w:rFonts w:ascii="Arial" w:hAnsi="Arial" w:cs="Arial"/>
          <w:b/>
          <w:szCs w:val="22"/>
        </w:rPr>
      </w:pPr>
      <w:r w:rsidRPr="007A6B62">
        <w:rPr>
          <w:rFonts w:ascii="Arial" w:hAnsi="Arial" w:cs="Arial"/>
          <w:b/>
          <w:szCs w:val="22"/>
        </w:rPr>
        <w:t>Participación Porcentual</w:t>
      </w:r>
    </w:p>
    <w:p w:rsidR="00670FBB" w:rsidRDefault="00670FBB" w:rsidP="005F4E85">
      <w:pPr>
        <w:jc w:val="both"/>
        <w:rPr>
          <w:rFonts w:ascii="Arial" w:hAnsi="Arial" w:cs="Arial"/>
          <w:b/>
          <w:szCs w:val="22"/>
        </w:rPr>
      </w:pPr>
    </w:p>
    <w:tbl>
      <w:tblPr>
        <w:tblW w:w="8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20"/>
        <w:gridCol w:w="1020"/>
        <w:gridCol w:w="1020"/>
        <w:gridCol w:w="1020"/>
        <w:gridCol w:w="1020"/>
        <w:gridCol w:w="1020"/>
        <w:gridCol w:w="1020"/>
      </w:tblGrid>
      <w:tr w:rsidR="004A2589" w:rsidRPr="007969B8" w:rsidTr="004A2589">
        <w:trPr>
          <w:trHeight w:val="340"/>
        </w:trPr>
        <w:tc>
          <w:tcPr>
            <w:tcW w:w="8841" w:type="dxa"/>
            <w:gridSpan w:val="8"/>
            <w:shd w:val="clear" w:color="auto" w:fill="31849B" w:themeFill="accent5" w:themeFillShade="BF"/>
            <w:vAlign w:val="center"/>
          </w:tcPr>
          <w:p w:rsidR="004A2589" w:rsidRPr="00670FBB" w:rsidRDefault="004A2589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Monto de Operaciones por Canal</w:t>
            </w:r>
          </w:p>
        </w:tc>
      </w:tr>
      <w:tr w:rsidR="00670FBB" w:rsidRPr="007969B8" w:rsidTr="00863AB6">
        <w:trPr>
          <w:trHeight w:val="675"/>
        </w:trPr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2014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2014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2015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2015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2016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2016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670FBB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70F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2017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Oficinas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52,74%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52,25%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47,62%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46,75%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48,07%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46,10%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43,79%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29,43%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29,54%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33,78%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33,14%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33,29%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32,29%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35,16%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12,69%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12,94%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13,22%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14,30%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13,14%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15,15%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14,75%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Cajeros Automáticos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2,74%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2,81%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2,81%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2,97%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2,80%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3,29%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3,13%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Datáfonos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1,27%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1,19%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1,36%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1,25%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Corresponsales Bancarios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0,40%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0,46%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0,54%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0,64%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0,92%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0,97%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Pagos Automáticos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0,78%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0,79%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0,85%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0,78%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Telefonía Móvil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0,05%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0,07%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0,14%</w:t>
            </w:r>
          </w:p>
        </w:tc>
      </w:tr>
      <w:tr w:rsidR="00670FBB" w:rsidRPr="007969B8" w:rsidTr="00863AB6">
        <w:trPr>
          <w:trHeight w:val="397"/>
        </w:trPr>
        <w:tc>
          <w:tcPr>
            <w:tcW w:w="1701" w:type="dxa"/>
            <w:shd w:val="clear" w:color="auto" w:fill="auto"/>
            <w:vAlign w:val="center"/>
            <w:hideMark/>
          </w:tcPr>
          <w:p w:rsidR="00670FBB" w:rsidRPr="00670FBB" w:rsidRDefault="00670FBB" w:rsidP="00863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Audio Respuesta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FBB" w:rsidRPr="00670FBB" w:rsidRDefault="00670FBB" w:rsidP="00863A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FBB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</w:tr>
      <w:tr w:rsidR="00670FBB" w:rsidRPr="007969B8" w:rsidTr="004A2589">
        <w:trPr>
          <w:trHeight w:val="283"/>
        </w:trPr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670FBB" w:rsidRPr="007969B8" w:rsidRDefault="00670FBB" w:rsidP="00863A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6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</w:tr>
    </w:tbl>
    <w:p w:rsidR="006A2F93" w:rsidRDefault="0047682A" w:rsidP="005F4E85">
      <w:pPr>
        <w:jc w:val="both"/>
        <w:rPr>
          <w:rFonts w:ascii="Arial" w:hAnsi="Arial" w:cs="Arial"/>
          <w:b/>
          <w:sz w:val="22"/>
          <w:szCs w:val="22"/>
        </w:rPr>
      </w:pPr>
      <w:r w:rsidRPr="007A6B62">
        <w:rPr>
          <w:rFonts w:ascii="Arial" w:hAnsi="Arial" w:cs="Arial"/>
          <w:b/>
          <w:szCs w:val="22"/>
        </w:rPr>
        <w:lastRenderedPageBreak/>
        <w:t>Monto Promedio por Operación</w:t>
      </w:r>
      <w:r w:rsidR="005D3552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47682A">
        <w:rPr>
          <w:rFonts w:ascii="Arial" w:hAnsi="Arial" w:cs="Arial"/>
          <w:b/>
          <w:sz w:val="22"/>
          <w:szCs w:val="22"/>
        </w:rPr>
        <w:t xml:space="preserve"> </w:t>
      </w:r>
    </w:p>
    <w:p w:rsidR="00CB5466" w:rsidRDefault="005D0736" w:rsidP="00CB5466">
      <w:pPr>
        <w:ind w:left="5664" w:firstLine="708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Cifras en millones de pesos</w:t>
      </w:r>
    </w:p>
    <w:tbl>
      <w:tblPr>
        <w:tblW w:w="85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20"/>
        <w:gridCol w:w="1020"/>
        <w:gridCol w:w="1020"/>
        <w:gridCol w:w="1020"/>
        <w:gridCol w:w="1020"/>
        <w:gridCol w:w="1020"/>
        <w:gridCol w:w="1020"/>
      </w:tblGrid>
      <w:tr w:rsidR="0044343E" w:rsidRPr="00837B8E" w:rsidTr="00854BA3">
        <w:trPr>
          <w:trHeight w:val="340"/>
        </w:trPr>
        <w:tc>
          <w:tcPr>
            <w:tcW w:w="1401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divId w:val="967320877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2014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2014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2015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2015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2016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2do Semestre de 2016</w:t>
            </w:r>
          </w:p>
        </w:tc>
        <w:tc>
          <w:tcPr>
            <w:tcW w:w="1020" w:type="dxa"/>
            <w:shd w:val="clear" w:color="auto" w:fill="31849B" w:themeFill="accent5" w:themeFillShade="BF"/>
            <w:vAlign w:val="center"/>
            <w:hideMark/>
          </w:tcPr>
          <w:p w:rsidR="0044343E" w:rsidRPr="0044343E" w:rsidRDefault="0044343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4343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1er Semestre de 2017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Oficinas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Pagos Automáticos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Audio Respuesta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Cajeros Automáticos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Telefonía Móvil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Datáfonos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44343E" w:rsidRPr="00837B8E" w:rsidTr="00995117">
        <w:trPr>
          <w:trHeight w:val="227"/>
        </w:trPr>
        <w:tc>
          <w:tcPr>
            <w:tcW w:w="1401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Corresponsales Bancarios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4343E" w:rsidRPr="0044343E" w:rsidRDefault="004434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43E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</w:tbl>
    <w:p w:rsidR="00996FC4" w:rsidRDefault="00996FC4" w:rsidP="005F4E85">
      <w:pPr>
        <w:jc w:val="both"/>
        <w:rPr>
          <w:rFonts w:ascii="Arial" w:hAnsi="Arial" w:cs="Arial"/>
          <w:sz w:val="22"/>
          <w:szCs w:val="22"/>
        </w:rPr>
      </w:pPr>
    </w:p>
    <w:p w:rsidR="00793874" w:rsidRDefault="00156D12" w:rsidP="00AF0A88">
      <w:pPr>
        <w:pStyle w:val="Ttulo1"/>
        <w:numPr>
          <w:ilvl w:val="0"/>
          <w:numId w:val="10"/>
        </w:numPr>
        <w:spacing w:before="0" w:after="0"/>
        <w:ind w:left="426"/>
        <w:jc w:val="both"/>
        <w:rPr>
          <w:sz w:val="24"/>
          <w:szCs w:val="24"/>
        </w:rPr>
      </w:pPr>
      <w:bookmarkStart w:id="53" w:name="_Toc413319448"/>
      <w:bookmarkStart w:id="54" w:name="_Toc413319753"/>
      <w:bookmarkStart w:id="55" w:name="_Toc413320303"/>
      <w:bookmarkStart w:id="56" w:name="_Toc491787006"/>
      <w:r>
        <w:rPr>
          <w:sz w:val="24"/>
          <w:szCs w:val="24"/>
        </w:rPr>
        <w:t xml:space="preserve">Entidades con Mayor Volumen de Operaciones en el </w:t>
      </w:r>
      <w:r w:rsidR="008635B9">
        <w:rPr>
          <w:sz w:val="24"/>
          <w:szCs w:val="24"/>
        </w:rPr>
        <w:t>Primer</w:t>
      </w:r>
      <w:r>
        <w:rPr>
          <w:sz w:val="24"/>
          <w:szCs w:val="24"/>
        </w:rPr>
        <w:t xml:space="preserve"> Semestre de 201</w:t>
      </w:r>
      <w:bookmarkEnd w:id="53"/>
      <w:bookmarkEnd w:id="54"/>
      <w:bookmarkEnd w:id="55"/>
      <w:r w:rsidR="00812018">
        <w:rPr>
          <w:sz w:val="24"/>
          <w:szCs w:val="24"/>
        </w:rPr>
        <w:t>7</w:t>
      </w:r>
      <w:bookmarkEnd w:id="56"/>
      <w:r w:rsidR="00793874">
        <w:rPr>
          <w:sz w:val="24"/>
          <w:szCs w:val="24"/>
        </w:rPr>
        <w:tab/>
      </w:r>
    </w:p>
    <w:p w:rsidR="00156D12" w:rsidRDefault="00793874" w:rsidP="00443482">
      <w:pPr>
        <w:rPr>
          <w:rFonts w:ascii="Arial" w:hAnsi="Arial" w:cs="Arial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7" w:name="_Toc413319449"/>
      <w:bookmarkStart w:id="58" w:name="_Toc413319754"/>
      <w:bookmarkStart w:id="59" w:name="_Toc413320304"/>
      <w:r w:rsidR="00443482">
        <w:tab/>
      </w:r>
      <w:r w:rsidR="005F1C04" w:rsidRPr="00443482">
        <w:rPr>
          <w:rFonts w:ascii="Arial" w:hAnsi="Arial" w:cs="Arial"/>
          <w:b/>
          <w:sz w:val="16"/>
        </w:rPr>
        <w:t>Mo</w:t>
      </w:r>
      <w:r w:rsidR="004901B0" w:rsidRPr="00443482">
        <w:rPr>
          <w:rFonts w:ascii="Arial" w:hAnsi="Arial" w:cs="Arial"/>
          <w:b/>
          <w:sz w:val="16"/>
        </w:rPr>
        <w:t>ntos en millones de pesos</w:t>
      </w:r>
      <w:bookmarkEnd w:id="57"/>
      <w:bookmarkEnd w:id="58"/>
      <w:bookmarkEnd w:id="59"/>
    </w:p>
    <w:tbl>
      <w:tblPr>
        <w:tblW w:w="866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1418"/>
        <w:gridCol w:w="1559"/>
        <w:gridCol w:w="1418"/>
        <w:gridCol w:w="1417"/>
      </w:tblGrid>
      <w:tr w:rsidR="00160DFD" w:rsidRPr="006B5150" w:rsidTr="006B5150">
        <w:trPr>
          <w:trHeight w:val="567"/>
        </w:trPr>
        <w:tc>
          <w:tcPr>
            <w:tcW w:w="582" w:type="dxa"/>
            <w:shd w:val="clear" w:color="auto" w:fill="31849B" w:themeFill="accent5" w:themeFillShade="BF"/>
            <w:vAlign w:val="center"/>
            <w:hideMark/>
          </w:tcPr>
          <w:p w:rsidR="00230A6D" w:rsidRPr="006B5150" w:rsidRDefault="00230A6D" w:rsidP="00230A6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268" w:type="dxa"/>
            <w:shd w:val="clear" w:color="auto" w:fill="31849B" w:themeFill="accent5" w:themeFillShade="BF"/>
            <w:vAlign w:val="center"/>
            <w:hideMark/>
          </w:tcPr>
          <w:p w:rsidR="00230A6D" w:rsidRPr="006B5150" w:rsidRDefault="00230A6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230A6D" w:rsidRPr="006B5150" w:rsidRDefault="00230A6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230A6D" w:rsidRPr="006B5150" w:rsidRDefault="00230A6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230A6D" w:rsidRPr="006B5150" w:rsidRDefault="00230A6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230A6D" w:rsidRPr="006B5150" w:rsidRDefault="00230A6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463.402.222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881.906.479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1.345.308.701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945.895.556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Colpatria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174.341.975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13.946.108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188.288.083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76.899.067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174.264.419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75.047.489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249.311.908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496.193.329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de Bogotá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133.696.968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99.223.688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232.920.656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727.108.954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115.088.172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58.404.193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173.492.365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286.621.461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AV Villas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59.754.758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23.799.175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83.553.933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55.842.967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46.070.226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12.521.789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58.592.015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59.626.658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Agrario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43.955.226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23.524.188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67.479.414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50.523.778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38.570.144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9.480.250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48.050.394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90.250.240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33.478.522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10.774.382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44.252.904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374.260.033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33.370.296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33.611.848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66.982.144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132.648.803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20.128.400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17.222.062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37.350.462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6.484.976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19.602.429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11.373.826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30.976.255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116.319.228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Falabella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16.691.814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7.304.961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23.996.775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4.478.869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14.738.765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4.854.712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19.593.477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68.167.640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5.780.248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1.849.700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7.629.948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7.307.235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 w:rsidP="003C3C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5.615.985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3.842.997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9.458.982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2.086.436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 xml:space="preserve">Giros &amp; Finanzas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4.990.706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260.004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5.250.710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3.145.847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Pichincha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4.066.907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2.163.115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6.230.022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7.090.871</w:t>
            </w:r>
          </w:p>
        </w:tc>
      </w:tr>
      <w:tr w:rsidR="004C5902" w:rsidRPr="006B5150" w:rsidTr="006B5150">
        <w:trPr>
          <w:trHeight w:val="227"/>
        </w:trPr>
        <w:tc>
          <w:tcPr>
            <w:tcW w:w="582" w:type="dxa"/>
            <w:shd w:val="clear" w:color="auto" w:fill="auto"/>
            <w:vAlign w:val="center"/>
          </w:tcPr>
          <w:p w:rsidR="004C5902" w:rsidRPr="006B5150" w:rsidRDefault="004C5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902" w:rsidRPr="006B5150" w:rsidRDefault="004C5902" w:rsidP="004C59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Banco Mundo Mujer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3.456.923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3.518.267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6.975.190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902" w:rsidRPr="006B5150" w:rsidRDefault="004C59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150">
              <w:rPr>
                <w:rFonts w:ascii="Arial" w:hAnsi="Arial" w:cs="Arial"/>
                <w:color w:val="000000"/>
                <w:sz w:val="18"/>
                <w:szCs w:val="18"/>
              </w:rPr>
              <w:t>1.738.767</w:t>
            </w:r>
          </w:p>
        </w:tc>
      </w:tr>
      <w:tr w:rsidR="00B55170" w:rsidRPr="006B5150" w:rsidTr="006B5150">
        <w:trPr>
          <w:trHeight w:val="397"/>
        </w:trPr>
        <w:tc>
          <w:tcPr>
            <w:tcW w:w="2850" w:type="dxa"/>
            <w:gridSpan w:val="2"/>
            <w:shd w:val="clear" w:color="auto" w:fill="31849B" w:themeFill="accent5" w:themeFillShade="BF"/>
            <w:vAlign w:val="center"/>
            <w:hideMark/>
          </w:tcPr>
          <w:p w:rsidR="00B55170" w:rsidRPr="006B5150" w:rsidRDefault="00B55170" w:rsidP="006B515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="006B5150" w:rsidRPr="006B51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B55170" w:rsidRPr="006B5150" w:rsidRDefault="00B55170" w:rsidP="00B5517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1.129.328.554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B55170" w:rsidRPr="006B5150" w:rsidRDefault="00B55170" w:rsidP="00B5517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876.234.599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B55170" w:rsidRPr="006B5150" w:rsidRDefault="00B55170" w:rsidP="00B5517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2.005.563.153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B55170" w:rsidRPr="006B5150" w:rsidRDefault="00A97644" w:rsidP="00B5517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B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$</w:t>
            </w:r>
            <w:r w:rsidR="00B55170" w:rsidRPr="006B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3.206.126.430</w:t>
            </w:r>
          </w:p>
        </w:tc>
      </w:tr>
    </w:tbl>
    <w:p w:rsidR="006B5150" w:rsidRDefault="006B5150" w:rsidP="006B5150">
      <w:bookmarkStart w:id="60" w:name="_Toc413319450"/>
      <w:bookmarkStart w:id="61" w:name="_Toc413319755"/>
      <w:bookmarkStart w:id="62" w:name="_Toc413320305"/>
    </w:p>
    <w:p w:rsidR="006B5150" w:rsidRDefault="006B5150" w:rsidP="006B5150"/>
    <w:p w:rsidR="00156D12" w:rsidRPr="007039CA" w:rsidRDefault="007039CA" w:rsidP="00AF0A88">
      <w:pPr>
        <w:pStyle w:val="Ttulo1"/>
        <w:numPr>
          <w:ilvl w:val="0"/>
          <w:numId w:val="10"/>
        </w:numPr>
        <w:spacing w:before="0" w:after="0"/>
        <w:ind w:left="426" w:hanging="426"/>
        <w:jc w:val="both"/>
        <w:rPr>
          <w:sz w:val="24"/>
          <w:szCs w:val="24"/>
        </w:rPr>
      </w:pPr>
      <w:bookmarkStart w:id="63" w:name="_Toc491787007"/>
      <w:r w:rsidRPr="007039CA">
        <w:rPr>
          <w:sz w:val="24"/>
          <w:szCs w:val="24"/>
        </w:rPr>
        <w:t xml:space="preserve">Resumen por Tipo de Canal en el </w:t>
      </w:r>
      <w:r w:rsidR="008F023D">
        <w:rPr>
          <w:sz w:val="24"/>
          <w:szCs w:val="24"/>
        </w:rPr>
        <w:t xml:space="preserve">Primer </w:t>
      </w:r>
      <w:r w:rsidRPr="007039CA">
        <w:rPr>
          <w:sz w:val="24"/>
          <w:szCs w:val="24"/>
        </w:rPr>
        <w:t>Semestre</w:t>
      </w:r>
      <w:r w:rsidR="00CD0530">
        <w:rPr>
          <w:sz w:val="24"/>
          <w:szCs w:val="24"/>
        </w:rPr>
        <w:t xml:space="preserve"> de 201</w:t>
      </w:r>
      <w:r w:rsidR="00D92DA2">
        <w:rPr>
          <w:sz w:val="24"/>
          <w:szCs w:val="24"/>
        </w:rPr>
        <w:t>7</w:t>
      </w:r>
      <w:bookmarkEnd w:id="60"/>
      <w:bookmarkEnd w:id="61"/>
      <w:bookmarkEnd w:id="62"/>
      <w:bookmarkEnd w:id="63"/>
    </w:p>
    <w:p w:rsidR="00156D12" w:rsidRPr="001F45AB" w:rsidRDefault="00156D12" w:rsidP="00156D12">
      <w:pPr>
        <w:rPr>
          <w:rFonts w:ascii="Arial" w:hAnsi="Arial" w:cs="Arial"/>
        </w:rPr>
      </w:pPr>
    </w:p>
    <w:p w:rsidR="00CB0B31" w:rsidRPr="00B42955" w:rsidRDefault="00CB0B31" w:rsidP="00545688">
      <w:pPr>
        <w:pStyle w:val="Ttulo1"/>
        <w:numPr>
          <w:ilvl w:val="1"/>
          <w:numId w:val="29"/>
        </w:numPr>
        <w:spacing w:before="0" w:after="0"/>
        <w:ind w:left="567" w:hanging="567"/>
        <w:rPr>
          <w:sz w:val="24"/>
          <w:szCs w:val="24"/>
        </w:rPr>
      </w:pPr>
      <w:bookmarkStart w:id="64" w:name="_Toc413319226"/>
      <w:bookmarkStart w:id="65" w:name="_Toc413319267"/>
      <w:bookmarkStart w:id="66" w:name="_Toc413319387"/>
      <w:bookmarkStart w:id="67" w:name="_Toc413319451"/>
      <w:bookmarkStart w:id="68" w:name="_Toc413320306"/>
      <w:bookmarkStart w:id="69" w:name="_Toc209150988"/>
      <w:bookmarkStart w:id="70" w:name="_Toc210206810"/>
      <w:bookmarkStart w:id="71" w:name="_Toc256582614"/>
      <w:bookmarkStart w:id="72" w:name="_Toc413319457"/>
      <w:bookmarkStart w:id="73" w:name="_Toc413319756"/>
      <w:bookmarkStart w:id="74" w:name="_Toc413320312"/>
      <w:bookmarkStart w:id="75" w:name="_Toc491787008"/>
      <w:bookmarkEnd w:id="64"/>
      <w:bookmarkEnd w:id="65"/>
      <w:bookmarkEnd w:id="66"/>
      <w:bookmarkEnd w:id="67"/>
      <w:bookmarkEnd w:id="68"/>
      <w:r w:rsidRPr="00B42955">
        <w:rPr>
          <w:sz w:val="24"/>
          <w:szCs w:val="24"/>
        </w:rPr>
        <w:lastRenderedPageBreak/>
        <w:t>Canal Oficinas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CB0B31" w:rsidRPr="001F45AB" w:rsidRDefault="00CB0B31" w:rsidP="00770FBA">
      <w:pPr>
        <w:jc w:val="both"/>
        <w:rPr>
          <w:rFonts w:ascii="Arial" w:hAnsi="Arial" w:cs="Arial"/>
          <w:szCs w:val="16"/>
        </w:rPr>
      </w:pPr>
    </w:p>
    <w:p w:rsidR="00CB0B31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81591A">
        <w:rPr>
          <w:rFonts w:ascii="Arial" w:hAnsi="Arial" w:cs="Arial"/>
          <w:sz w:val="22"/>
          <w:szCs w:val="22"/>
        </w:rPr>
        <w:t xml:space="preserve">El sistema financiero </w:t>
      </w:r>
      <w:r w:rsidR="005A4D26" w:rsidRPr="0081591A">
        <w:rPr>
          <w:rFonts w:ascii="Arial" w:hAnsi="Arial" w:cs="Arial"/>
          <w:sz w:val="22"/>
          <w:szCs w:val="22"/>
        </w:rPr>
        <w:t xml:space="preserve">cuenta con </w:t>
      </w:r>
      <w:r w:rsidR="00BF5D0C">
        <w:rPr>
          <w:rFonts w:ascii="Arial" w:hAnsi="Arial" w:cs="Arial"/>
          <w:sz w:val="22"/>
          <w:szCs w:val="22"/>
        </w:rPr>
        <w:t>6</w:t>
      </w:r>
      <w:r w:rsidR="00267F47" w:rsidRPr="0081591A">
        <w:rPr>
          <w:rFonts w:ascii="Arial" w:hAnsi="Arial" w:cs="Arial"/>
          <w:sz w:val="22"/>
          <w:szCs w:val="22"/>
        </w:rPr>
        <w:t>.</w:t>
      </w:r>
      <w:r w:rsidR="00F3768C">
        <w:rPr>
          <w:rFonts w:ascii="Arial" w:hAnsi="Arial" w:cs="Arial"/>
          <w:sz w:val="22"/>
          <w:szCs w:val="22"/>
        </w:rPr>
        <w:t>4</w:t>
      </w:r>
      <w:r w:rsidR="009F2612">
        <w:rPr>
          <w:rFonts w:ascii="Arial" w:hAnsi="Arial" w:cs="Arial"/>
          <w:sz w:val="22"/>
          <w:szCs w:val="22"/>
        </w:rPr>
        <w:t>47</w:t>
      </w:r>
      <w:r w:rsidR="0081591A" w:rsidRPr="0081591A">
        <w:rPr>
          <w:rFonts w:ascii="Arial" w:hAnsi="Arial" w:cs="Arial"/>
          <w:sz w:val="22"/>
          <w:szCs w:val="22"/>
        </w:rPr>
        <w:t xml:space="preserve"> </w:t>
      </w:r>
      <w:r w:rsidRPr="0081591A">
        <w:rPr>
          <w:rFonts w:ascii="Arial" w:hAnsi="Arial" w:cs="Arial"/>
          <w:sz w:val="22"/>
          <w:szCs w:val="22"/>
        </w:rPr>
        <w:t xml:space="preserve">oficinas en las cuales se realizaron </w:t>
      </w:r>
      <w:r w:rsidR="009F2612" w:rsidRPr="009F2612">
        <w:rPr>
          <w:rFonts w:ascii="Arial" w:hAnsi="Arial" w:cs="Arial"/>
          <w:sz w:val="22"/>
          <w:szCs w:val="22"/>
        </w:rPr>
        <w:t>309.019.265</w:t>
      </w:r>
      <w:r w:rsidR="009F2612">
        <w:rPr>
          <w:rFonts w:ascii="Arial" w:hAnsi="Arial" w:cs="Arial"/>
          <w:sz w:val="22"/>
          <w:szCs w:val="22"/>
        </w:rPr>
        <w:t xml:space="preserve"> </w:t>
      </w:r>
      <w:r w:rsidRPr="0081591A">
        <w:rPr>
          <w:rFonts w:ascii="Arial" w:hAnsi="Arial" w:cs="Arial"/>
          <w:sz w:val="22"/>
          <w:szCs w:val="22"/>
        </w:rPr>
        <w:t xml:space="preserve">operaciones; </w:t>
      </w:r>
      <w:r w:rsidR="009F2612" w:rsidRPr="009F2612">
        <w:rPr>
          <w:rFonts w:ascii="Arial" w:hAnsi="Arial" w:cs="Arial"/>
          <w:sz w:val="22"/>
          <w:szCs w:val="22"/>
        </w:rPr>
        <w:t>283.109.569</w:t>
      </w:r>
      <w:r w:rsidR="00B1727B">
        <w:rPr>
          <w:rFonts w:ascii="Arial" w:hAnsi="Arial" w:cs="Arial"/>
          <w:sz w:val="22"/>
          <w:szCs w:val="22"/>
        </w:rPr>
        <w:t xml:space="preserve"> </w:t>
      </w:r>
      <w:r w:rsidRPr="0081591A">
        <w:rPr>
          <w:rFonts w:ascii="Arial" w:hAnsi="Arial" w:cs="Arial"/>
          <w:sz w:val="22"/>
          <w:szCs w:val="22"/>
        </w:rPr>
        <w:t>monetarias por $</w:t>
      </w:r>
      <w:r w:rsidR="00BF5D0C">
        <w:rPr>
          <w:rFonts w:ascii="Arial" w:hAnsi="Arial" w:cs="Arial"/>
          <w:sz w:val="22"/>
          <w:szCs w:val="22"/>
        </w:rPr>
        <w:t>1</w:t>
      </w:r>
      <w:r w:rsidR="007A62EF" w:rsidRPr="0081591A">
        <w:rPr>
          <w:rFonts w:ascii="Arial" w:hAnsi="Arial" w:cs="Arial"/>
          <w:sz w:val="22"/>
          <w:szCs w:val="22"/>
        </w:rPr>
        <w:t>.</w:t>
      </w:r>
      <w:r w:rsidR="00F3768C">
        <w:rPr>
          <w:rFonts w:ascii="Arial" w:hAnsi="Arial" w:cs="Arial"/>
          <w:sz w:val="22"/>
          <w:szCs w:val="22"/>
        </w:rPr>
        <w:t>54</w:t>
      </w:r>
      <w:r w:rsidR="009F2612">
        <w:rPr>
          <w:rFonts w:ascii="Arial" w:hAnsi="Arial" w:cs="Arial"/>
          <w:sz w:val="22"/>
          <w:szCs w:val="22"/>
        </w:rPr>
        <w:t>5</w:t>
      </w:r>
      <w:r w:rsidR="007A62EF" w:rsidRPr="0081591A">
        <w:rPr>
          <w:rFonts w:ascii="Arial" w:hAnsi="Arial" w:cs="Arial"/>
          <w:sz w:val="22"/>
          <w:szCs w:val="22"/>
        </w:rPr>
        <w:t>,</w:t>
      </w:r>
      <w:r w:rsidR="009F2612">
        <w:rPr>
          <w:rFonts w:ascii="Arial" w:hAnsi="Arial" w:cs="Arial"/>
          <w:sz w:val="22"/>
          <w:szCs w:val="22"/>
        </w:rPr>
        <w:t>2</w:t>
      </w:r>
      <w:r w:rsidR="0081591A" w:rsidRPr="0081591A">
        <w:rPr>
          <w:rFonts w:ascii="Arial" w:hAnsi="Arial" w:cs="Arial"/>
          <w:sz w:val="22"/>
          <w:szCs w:val="22"/>
        </w:rPr>
        <w:t xml:space="preserve"> </w:t>
      </w:r>
      <w:r w:rsidRPr="0081591A">
        <w:rPr>
          <w:rFonts w:ascii="Arial" w:hAnsi="Arial" w:cs="Arial"/>
          <w:sz w:val="22"/>
          <w:szCs w:val="22"/>
        </w:rPr>
        <w:t>billones</w:t>
      </w:r>
      <w:r w:rsidR="00B1727B">
        <w:rPr>
          <w:rFonts w:ascii="Arial" w:hAnsi="Arial" w:cs="Arial"/>
          <w:sz w:val="22"/>
          <w:szCs w:val="22"/>
        </w:rPr>
        <w:t xml:space="preserve"> de pesos</w:t>
      </w:r>
      <w:r w:rsidRPr="0081591A">
        <w:rPr>
          <w:rFonts w:ascii="Arial" w:hAnsi="Arial" w:cs="Arial"/>
          <w:sz w:val="22"/>
          <w:szCs w:val="22"/>
        </w:rPr>
        <w:t xml:space="preserve"> y </w:t>
      </w:r>
      <w:r w:rsidR="009F2612" w:rsidRPr="009F2612">
        <w:rPr>
          <w:rFonts w:ascii="Arial" w:hAnsi="Arial" w:cs="Arial"/>
          <w:sz w:val="22"/>
          <w:szCs w:val="22"/>
        </w:rPr>
        <w:t>25.909.696</w:t>
      </w:r>
      <w:r w:rsidR="009F2612">
        <w:rPr>
          <w:rFonts w:ascii="Arial" w:hAnsi="Arial" w:cs="Arial"/>
          <w:sz w:val="22"/>
          <w:szCs w:val="22"/>
        </w:rPr>
        <w:t xml:space="preserve"> </w:t>
      </w:r>
      <w:r w:rsidRPr="0081591A">
        <w:rPr>
          <w:rFonts w:ascii="Arial" w:hAnsi="Arial" w:cs="Arial"/>
          <w:sz w:val="22"/>
          <w:szCs w:val="22"/>
        </w:rPr>
        <w:t>no monetarias.</w:t>
      </w:r>
      <w:r w:rsidR="00B1727B">
        <w:rPr>
          <w:rFonts w:ascii="Arial" w:hAnsi="Arial" w:cs="Arial"/>
          <w:sz w:val="22"/>
          <w:szCs w:val="22"/>
        </w:rPr>
        <w:t xml:space="preserve"> </w:t>
      </w:r>
    </w:p>
    <w:p w:rsidR="009B15FA" w:rsidRPr="0081591A" w:rsidRDefault="009B15FA" w:rsidP="00770FBA">
      <w:pPr>
        <w:jc w:val="both"/>
        <w:rPr>
          <w:rFonts w:ascii="Arial" w:hAnsi="Arial" w:cs="Arial"/>
          <w:sz w:val="22"/>
          <w:szCs w:val="22"/>
        </w:rPr>
      </w:pPr>
    </w:p>
    <w:p w:rsidR="00807DA0" w:rsidRDefault="000F41CB" w:rsidP="00807DA0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 en millones de pesos</w:t>
      </w:r>
    </w:p>
    <w:tbl>
      <w:tblPr>
        <w:tblW w:w="901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1417"/>
        <w:gridCol w:w="1276"/>
        <w:gridCol w:w="1276"/>
        <w:gridCol w:w="1517"/>
        <w:gridCol w:w="962"/>
      </w:tblGrid>
      <w:tr w:rsidR="0092376F" w:rsidRPr="00807DA0" w:rsidTr="009F2612">
        <w:trPr>
          <w:trHeight w:val="283"/>
          <w:tblHeader/>
        </w:trPr>
        <w:tc>
          <w:tcPr>
            <w:tcW w:w="441" w:type="dxa"/>
            <w:shd w:val="clear" w:color="auto" w:fill="31849B" w:themeFill="accent5" w:themeFillShade="BF"/>
            <w:vAlign w:val="center"/>
          </w:tcPr>
          <w:p w:rsidR="0092376F" w:rsidRPr="00807DA0" w:rsidRDefault="0092376F" w:rsidP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  <w:hideMark/>
          </w:tcPr>
          <w:p w:rsidR="0092376F" w:rsidRPr="00807DA0" w:rsidRDefault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07D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92376F" w:rsidRPr="00807DA0" w:rsidRDefault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07D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92376F" w:rsidRPr="00807DA0" w:rsidRDefault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07D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92376F" w:rsidRPr="00807DA0" w:rsidRDefault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07D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17" w:type="dxa"/>
            <w:shd w:val="clear" w:color="auto" w:fill="31849B" w:themeFill="accent5" w:themeFillShade="BF"/>
            <w:vAlign w:val="center"/>
            <w:hideMark/>
          </w:tcPr>
          <w:p w:rsidR="0092376F" w:rsidRPr="00807DA0" w:rsidRDefault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07D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  <w:tc>
          <w:tcPr>
            <w:tcW w:w="962" w:type="dxa"/>
            <w:shd w:val="clear" w:color="auto" w:fill="31849B" w:themeFill="accent5" w:themeFillShade="BF"/>
            <w:vAlign w:val="center"/>
            <w:hideMark/>
          </w:tcPr>
          <w:p w:rsidR="0092376F" w:rsidRPr="00807DA0" w:rsidRDefault="0092376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07D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Oficinas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46.825.914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79.804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46.905.718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412.093.297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760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co Agrario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22.150.948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3.425.768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25.576.716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33.843.995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750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Bancolombia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51.253.904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490.809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51.744.713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392.618.589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745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Davivienda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39.014.969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4.242.739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43.257.708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237.412.042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595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BBVA Colombia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11.536.299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31.500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11.567.799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65.924.940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480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Banco 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AV Villas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15.275.051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790.579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16.065.630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20.478.414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303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Giros &amp; Finanzas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3.999.197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203.852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4.203.049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2.794.303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298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Caja Social BCS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18.129.369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4.711.151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22.840.520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30.806.739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268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de Occidente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12.391.547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403.154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12.794.701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171.493.174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247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Popular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10.648.430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1.212.969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11.861.399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26.092.871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243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Bancamía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2.167.758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36.022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2.203.780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1.179.489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199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Banco 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Colpatria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11.092.440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713.378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11.805.818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21.939.330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187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Itaú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4.252.830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640.551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4.893.381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44.387.578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166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Banco Mundo Mujer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3.164.920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3.504.547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6.669.467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1.682.682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165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Banco W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3.243.866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3.243.866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1.519.559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143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GNB Sudameris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9.065.445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2.453.126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11.518.571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26.817.938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123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Bancoomeva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2.756.308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2.756.308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4.420.517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93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Bancompartir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577.647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164.947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742.594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628.855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93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Banco Falabella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3.859.741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99.170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3.958.911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2.455.861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Citibank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2.522.483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28.193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2.550.676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35.224.210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Cotrafa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2.047.558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2.047.558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947.249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54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Confiar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1.541.044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75.143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1.616.187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1.640.598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49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Banco Pichincha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3.099.130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12.337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3.111.467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3.196.218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Cooperativa Financiera de Antioquia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275.807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275.807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485.229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FK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776.314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46.579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822.893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778.476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39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Financiera Juriscoop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400.153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401.586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567.716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34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Financiera Pagos Internacionales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3.065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3.371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28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Serfinansa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118.630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1.897.680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2.016.310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948.497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21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Coofinep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182.527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182.528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310.662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19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Coopcentral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174.687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493.172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667.859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685.911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18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Coltefinanciera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55.072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55.072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1.158.516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16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Finandina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101.066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101.066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315.159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Credifinanciera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13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pportunity International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41.367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33.147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74.514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54.760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Financiera Dann Regional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547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16.208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10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Multibank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3.503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37.209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8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Credifamilia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Procredit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23.368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117.832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141.200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146.983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6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807DA0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Leasing Corficolombiana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5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A23CD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D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Arco Grupo Bancoldex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463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12.609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2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A23CD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D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Banco S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an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tander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815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88.006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A23CD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D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Tuya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335.457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335.457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41.968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A23CD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D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M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 Financial Colombia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*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43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A23CD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D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89089E" w:rsidP="0089089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CI</w:t>
            </w: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 xml:space="preserve"> Colombia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</w:tr>
      <w:tr w:rsidR="0089089E" w:rsidRPr="00807DA0" w:rsidTr="00CB33E3">
        <w:trPr>
          <w:trHeight w:val="283"/>
        </w:trPr>
        <w:tc>
          <w:tcPr>
            <w:tcW w:w="441" w:type="dxa"/>
            <w:vAlign w:val="center"/>
          </w:tcPr>
          <w:p w:rsidR="0089089E" w:rsidRPr="00A23CDE" w:rsidRDefault="0089089E" w:rsidP="009237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D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089E" w:rsidRPr="0089089E" w:rsidRDefault="0009141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L</w:t>
            </w:r>
            <w:r w:rsidR="0089089E" w:rsidRPr="0089089E">
              <w:rPr>
                <w:rFonts w:ascii="Arial" w:hAnsi="Arial" w:cs="Arial"/>
                <w:color w:val="000000"/>
                <w:sz w:val="18"/>
                <w:szCs w:val="16"/>
              </w:rPr>
              <w:t>a Hipotecaria</w:t>
            </w:r>
            <w:r w:rsidR="0089089E">
              <w:rPr>
                <w:rFonts w:ascii="Arial" w:hAnsi="Arial" w:cs="Arial"/>
                <w:color w:val="000000"/>
                <w:sz w:val="18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9089E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</w:tr>
      <w:tr w:rsidR="0089089E" w:rsidRPr="00807DA0" w:rsidTr="009F2612">
        <w:trPr>
          <w:trHeight w:val="397"/>
        </w:trPr>
        <w:tc>
          <w:tcPr>
            <w:tcW w:w="2567" w:type="dxa"/>
            <w:gridSpan w:val="2"/>
            <w:shd w:val="clear" w:color="auto" w:fill="31849B" w:themeFill="accent5" w:themeFillShade="BF"/>
            <w:vAlign w:val="center"/>
          </w:tcPr>
          <w:p w:rsidR="0089089E" w:rsidRPr="0089089E" w:rsidRDefault="0089089E" w:rsidP="0089089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908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08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283.109.569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08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25.909.696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08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309.019.265</w:t>
            </w:r>
          </w:p>
        </w:tc>
        <w:tc>
          <w:tcPr>
            <w:tcW w:w="1517" w:type="dxa"/>
            <w:shd w:val="clear" w:color="auto" w:fill="31849B" w:themeFill="accent5" w:themeFillShade="BF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08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1.545.249.728</w:t>
            </w:r>
          </w:p>
        </w:tc>
        <w:tc>
          <w:tcPr>
            <w:tcW w:w="962" w:type="dxa"/>
            <w:shd w:val="clear" w:color="auto" w:fill="31849B" w:themeFill="accent5" w:themeFillShade="BF"/>
            <w:vAlign w:val="center"/>
            <w:hideMark/>
          </w:tcPr>
          <w:p w:rsidR="0089089E" w:rsidRPr="0089089E" w:rsidRDefault="0089089E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08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6.447</w:t>
            </w:r>
          </w:p>
        </w:tc>
      </w:tr>
    </w:tbl>
    <w:p w:rsidR="00807DA0" w:rsidRDefault="00807DA0" w:rsidP="00807DA0">
      <w:pPr>
        <w:pStyle w:val="Prrafodelist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(*) Entidades que recaudan a través de otras redes.</w:t>
      </w:r>
    </w:p>
    <w:p w:rsidR="00807DA0" w:rsidRPr="001F45AB" w:rsidRDefault="00807DA0" w:rsidP="00807DA0">
      <w:pPr>
        <w:rPr>
          <w:rFonts w:ascii="Arial" w:hAnsi="Arial" w:cs="Arial"/>
          <w:b/>
          <w:szCs w:val="16"/>
        </w:rPr>
      </w:pPr>
    </w:p>
    <w:p w:rsidR="00CB0B31" w:rsidRDefault="00CB0B31" w:rsidP="006A2337">
      <w:pPr>
        <w:pStyle w:val="Ttulo1"/>
        <w:numPr>
          <w:ilvl w:val="1"/>
          <w:numId w:val="23"/>
        </w:numPr>
        <w:spacing w:before="0" w:after="0"/>
        <w:ind w:left="567" w:hanging="567"/>
        <w:rPr>
          <w:sz w:val="24"/>
          <w:szCs w:val="24"/>
        </w:rPr>
      </w:pPr>
      <w:bookmarkStart w:id="76" w:name="_Toc209150989"/>
      <w:bookmarkStart w:id="77" w:name="_Toc210206811"/>
      <w:bookmarkStart w:id="78" w:name="_Toc256582615"/>
      <w:bookmarkStart w:id="79" w:name="_Toc413319458"/>
      <w:bookmarkStart w:id="80" w:name="_Toc413319757"/>
      <w:bookmarkStart w:id="81" w:name="_Toc413320313"/>
      <w:bookmarkStart w:id="82" w:name="_Toc491787009"/>
      <w:r>
        <w:rPr>
          <w:sz w:val="24"/>
          <w:szCs w:val="24"/>
        </w:rPr>
        <w:t>Canal Cajeros Automáticos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CB0B31" w:rsidRPr="001F45AB" w:rsidRDefault="00CB0B31" w:rsidP="00770FBA">
      <w:pPr>
        <w:jc w:val="both"/>
        <w:rPr>
          <w:rFonts w:ascii="Arial" w:hAnsi="Arial" w:cs="Arial"/>
          <w:szCs w:val="22"/>
        </w:rPr>
      </w:pPr>
    </w:p>
    <w:p w:rsidR="00A84D30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B524F1">
        <w:rPr>
          <w:rFonts w:ascii="Arial" w:hAnsi="Arial" w:cs="Arial"/>
          <w:sz w:val="22"/>
          <w:szCs w:val="22"/>
        </w:rPr>
        <w:t>E</w:t>
      </w:r>
      <w:r w:rsidR="00997105">
        <w:rPr>
          <w:rFonts w:ascii="Arial" w:hAnsi="Arial" w:cs="Arial"/>
          <w:sz w:val="22"/>
          <w:szCs w:val="22"/>
        </w:rPr>
        <w:t>n</w:t>
      </w:r>
      <w:r w:rsidRPr="00B524F1">
        <w:rPr>
          <w:rFonts w:ascii="Arial" w:hAnsi="Arial" w:cs="Arial"/>
          <w:sz w:val="22"/>
          <w:szCs w:val="22"/>
        </w:rPr>
        <w:t xml:space="preserve"> </w:t>
      </w:r>
      <w:r w:rsidR="00997105">
        <w:rPr>
          <w:rFonts w:ascii="Arial" w:hAnsi="Arial" w:cs="Arial"/>
          <w:sz w:val="22"/>
          <w:szCs w:val="22"/>
        </w:rPr>
        <w:t xml:space="preserve">el </w:t>
      </w:r>
      <w:r w:rsidRPr="00B524F1">
        <w:rPr>
          <w:rFonts w:ascii="Arial" w:hAnsi="Arial" w:cs="Arial"/>
          <w:sz w:val="22"/>
          <w:szCs w:val="22"/>
        </w:rPr>
        <w:t xml:space="preserve">sistema financiero </w:t>
      </w:r>
      <w:r w:rsidR="00997105">
        <w:rPr>
          <w:rFonts w:ascii="Arial" w:hAnsi="Arial" w:cs="Arial"/>
          <w:sz w:val="22"/>
          <w:szCs w:val="22"/>
        </w:rPr>
        <w:t>operan</w:t>
      </w:r>
      <w:r w:rsidR="005A4D26">
        <w:rPr>
          <w:rFonts w:ascii="Arial" w:hAnsi="Arial" w:cs="Arial"/>
          <w:sz w:val="22"/>
          <w:szCs w:val="22"/>
        </w:rPr>
        <w:t xml:space="preserve"> </w:t>
      </w:r>
      <w:r w:rsidR="00EF1328">
        <w:rPr>
          <w:rFonts w:ascii="Arial" w:hAnsi="Arial" w:cs="Arial"/>
          <w:sz w:val="22"/>
          <w:szCs w:val="22"/>
        </w:rPr>
        <w:t>1</w:t>
      </w:r>
      <w:r w:rsidR="00773965">
        <w:rPr>
          <w:rFonts w:ascii="Arial" w:hAnsi="Arial" w:cs="Arial"/>
          <w:sz w:val="22"/>
          <w:szCs w:val="22"/>
        </w:rPr>
        <w:t>5</w:t>
      </w:r>
      <w:r w:rsidR="001E59A5">
        <w:rPr>
          <w:rFonts w:ascii="Arial" w:hAnsi="Arial" w:cs="Arial"/>
          <w:sz w:val="22"/>
          <w:szCs w:val="22"/>
        </w:rPr>
        <w:t>.</w:t>
      </w:r>
      <w:r w:rsidR="00773965">
        <w:rPr>
          <w:rFonts w:ascii="Arial" w:hAnsi="Arial" w:cs="Arial"/>
          <w:sz w:val="22"/>
          <w:szCs w:val="22"/>
        </w:rPr>
        <w:t>291</w:t>
      </w:r>
      <w:r w:rsidR="002A7F6C">
        <w:rPr>
          <w:rFonts w:ascii="Arial" w:hAnsi="Arial" w:cs="Arial"/>
          <w:sz w:val="22"/>
          <w:szCs w:val="22"/>
        </w:rPr>
        <w:t xml:space="preserve"> </w:t>
      </w:r>
      <w:r w:rsidRPr="00B524F1">
        <w:rPr>
          <w:rFonts w:ascii="Arial" w:hAnsi="Arial" w:cs="Arial"/>
          <w:sz w:val="22"/>
          <w:szCs w:val="22"/>
        </w:rPr>
        <w:t xml:space="preserve">cajeros automáticos </w:t>
      </w:r>
      <w:r>
        <w:rPr>
          <w:rFonts w:ascii="Arial" w:hAnsi="Arial" w:cs="Arial"/>
          <w:sz w:val="22"/>
          <w:szCs w:val="22"/>
        </w:rPr>
        <w:t xml:space="preserve">en los cuales se realizaron </w:t>
      </w:r>
      <w:r w:rsidR="00773965" w:rsidRPr="00773965">
        <w:rPr>
          <w:rFonts w:ascii="Arial" w:hAnsi="Arial" w:cs="Arial"/>
          <w:sz w:val="22"/>
          <w:szCs w:val="22"/>
        </w:rPr>
        <w:t>379.998.751</w:t>
      </w:r>
      <w:r w:rsidR="002A7F6C">
        <w:rPr>
          <w:rFonts w:ascii="Arial" w:hAnsi="Arial" w:cs="Arial"/>
          <w:sz w:val="22"/>
          <w:szCs w:val="22"/>
        </w:rPr>
        <w:t xml:space="preserve"> </w:t>
      </w:r>
      <w:r w:rsidR="003F4157" w:rsidRPr="009E0D53">
        <w:rPr>
          <w:rFonts w:ascii="Arial" w:hAnsi="Arial" w:cs="Arial"/>
          <w:sz w:val="22"/>
          <w:szCs w:val="22"/>
        </w:rPr>
        <w:t>opera</w:t>
      </w:r>
      <w:r w:rsidRPr="009E0D53">
        <w:rPr>
          <w:rFonts w:ascii="Arial" w:hAnsi="Arial" w:cs="Arial"/>
          <w:sz w:val="22"/>
          <w:szCs w:val="22"/>
        </w:rPr>
        <w:t>ciones</w:t>
      </w:r>
      <w:r>
        <w:rPr>
          <w:rFonts w:ascii="Arial" w:hAnsi="Arial" w:cs="Arial"/>
          <w:sz w:val="22"/>
          <w:szCs w:val="22"/>
        </w:rPr>
        <w:t xml:space="preserve">; </w:t>
      </w:r>
      <w:r w:rsidR="00773965" w:rsidRPr="00773965">
        <w:rPr>
          <w:rFonts w:ascii="Arial" w:hAnsi="Arial" w:cs="Arial"/>
          <w:sz w:val="22"/>
          <w:szCs w:val="22"/>
        </w:rPr>
        <w:t>334.160.054</w:t>
      </w:r>
      <w:r w:rsidR="002A7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monetarias</w:t>
      </w:r>
      <w:r w:rsidRPr="00B524F1">
        <w:rPr>
          <w:rFonts w:ascii="Arial" w:hAnsi="Arial" w:cs="Arial"/>
          <w:sz w:val="22"/>
          <w:szCs w:val="22"/>
        </w:rPr>
        <w:t xml:space="preserve"> por</w:t>
      </w:r>
      <w:r w:rsidR="002957AB">
        <w:rPr>
          <w:rFonts w:ascii="Arial" w:hAnsi="Arial" w:cs="Arial"/>
          <w:sz w:val="22"/>
          <w:szCs w:val="22"/>
        </w:rPr>
        <w:t xml:space="preserve"> </w:t>
      </w:r>
      <w:r w:rsidRPr="00B524F1">
        <w:rPr>
          <w:rFonts w:ascii="Arial" w:hAnsi="Arial" w:cs="Arial"/>
          <w:sz w:val="22"/>
          <w:szCs w:val="22"/>
        </w:rPr>
        <w:t>$</w:t>
      </w:r>
      <w:r w:rsidR="00773965">
        <w:rPr>
          <w:rFonts w:ascii="Arial" w:hAnsi="Arial" w:cs="Arial"/>
          <w:sz w:val="22"/>
          <w:szCs w:val="22"/>
        </w:rPr>
        <w:t>110</w:t>
      </w:r>
      <w:r w:rsidR="00397736">
        <w:rPr>
          <w:rFonts w:ascii="Arial" w:hAnsi="Arial" w:cs="Arial"/>
          <w:sz w:val="22"/>
          <w:szCs w:val="22"/>
        </w:rPr>
        <w:t>,</w:t>
      </w:r>
      <w:r w:rsidR="00773965">
        <w:rPr>
          <w:rFonts w:ascii="Arial" w:hAnsi="Arial" w:cs="Arial"/>
          <w:sz w:val="22"/>
          <w:szCs w:val="22"/>
        </w:rPr>
        <w:t>4</w:t>
      </w:r>
      <w:r w:rsidRPr="00B524F1">
        <w:rPr>
          <w:rFonts w:ascii="Arial" w:hAnsi="Arial" w:cs="Arial"/>
          <w:sz w:val="22"/>
          <w:szCs w:val="22"/>
        </w:rPr>
        <w:t xml:space="preserve"> billones</w:t>
      </w:r>
      <w:r w:rsidR="00D72DFD">
        <w:rPr>
          <w:rFonts w:ascii="Arial" w:hAnsi="Arial" w:cs="Arial"/>
          <w:sz w:val="22"/>
          <w:szCs w:val="22"/>
        </w:rPr>
        <w:t xml:space="preserve"> de pesos</w:t>
      </w:r>
      <w:r w:rsidR="002957AB">
        <w:rPr>
          <w:rFonts w:ascii="Arial" w:hAnsi="Arial" w:cs="Arial"/>
          <w:sz w:val="22"/>
          <w:szCs w:val="22"/>
        </w:rPr>
        <w:t xml:space="preserve"> </w:t>
      </w:r>
      <w:r w:rsidRPr="00B524F1">
        <w:rPr>
          <w:rFonts w:ascii="Arial" w:hAnsi="Arial" w:cs="Arial"/>
          <w:sz w:val="22"/>
          <w:szCs w:val="22"/>
        </w:rPr>
        <w:t xml:space="preserve">y </w:t>
      </w:r>
      <w:r w:rsidR="00773965" w:rsidRPr="00773965">
        <w:rPr>
          <w:rFonts w:ascii="Arial" w:hAnsi="Arial" w:cs="Arial"/>
          <w:sz w:val="22"/>
          <w:szCs w:val="22"/>
        </w:rPr>
        <w:t>45.838.697</w:t>
      </w:r>
      <w:r w:rsidR="002A7F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monetarias.</w:t>
      </w:r>
    </w:p>
    <w:p w:rsidR="00DA6F54" w:rsidRPr="001F45AB" w:rsidRDefault="00DA6F54" w:rsidP="00770FBA">
      <w:pPr>
        <w:jc w:val="both"/>
        <w:rPr>
          <w:rFonts w:ascii="Arial" w:hAnsi="Arial" w:cs="Arial"/>
          <w:szCs w:val="22"/>
        </w:rPr>
      </w:pPr>
    </w:p>
    <w:p w:rsidR="00CB0B31" w:rsidRDefault="00AF5F08" w:rsidP="00770FB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901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83"/>
        <w:gridCol w:w="1248"/>
        <w:gridCol w:w="1248"/>
        <w:gridCol w:w="1247"/>
        <w:gridCol w:w="1248"/>
        <w:gridCol w:w="1300"/>
      </w:tblGrid>
      <w:tr w:rsidR="00836C8F" w:rsidRPr="00000E33" w:rsidTr="00D9166E">
        <w:trPr>
          <w:trHeight w:val="794"/>
          <w:tblHeader/>
        </w:trPr>
        <w:tc>
          <w:tcPr>
            <w:tcW w:w="441" w:type="dxa"/>
            <w:shd w:val="clear" w:color="auto" w:fill="31849B" w:themeFill="accent5" w:themeFillShade="BF"/>
            <w:vAlign w:val="center"/>
          </w:tcPr>
          <w:p w:rsidR="00C80C29" w:rsidRPr="00000E33" w:rsidRDefault="00C80C29" w:rsidP="00C80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283" w:type="dxa"/>
            <w:shd w:val="clear" w:color="auto" w:fill="31849B" w:themeFill="accent5" w:themeFillShade="BF"/>
            <w:vAlign w:val="center"/>
            <w:hideMark/>
          </w:tcPr>
          <w:p w:rsidR="00C80C29" w:rsidRPr="00000E33" w:rsidRDefault="00C80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248" w:type="dxa"/>
            <w:shd w:val="clear" w:color="auto" w:fill="31849B" w:themeFill="accent5" w:themeFillShade="BF"/>
            <w:vAlign w:val="center"/>
            <w:hideMark/>
          </w:tcPr>
          <w:p w:rsidR="00C80C29" w:rsidRPr="00000E33" w:rsidRDefault="00C80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248" w:type="dxa"/>
            <w:shd w:val="clear" w:color="auto" w:fill="31849B" w:themeFill="accent5" w:themeFillShade="BF"/>
            <w:vAlign w:val="center"/>
            <w:hideMark/>
          </w:tcPr>
          <w:p w:rsidR="00C80C29" w:rsidRPr="00000E33" w:rsidRDefault="00C80C29" w:rsidP="00CE75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Número de Operaciones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 Monetarias</w:t>
            </w:r>
          </w:p>
        </w:tc>
        <w:tc>
          <w:tcPr>
            <w:tcW w:w="1247" w:type="dxa"/>
            <w:shd w:val="clear" w:color="auto" w:fill="31849B" w:themeFill="accent5" w:themeFillShade="BF"/>
            <w:vAlign w:val="center"/>
            <w:hideMark/>
          </w:tcPr>
          <w:p w:rsidR="00C80C29" w:rsidRPr="00000E33" w:rsidRDefault="00C80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248" w:type="dxa"/>
            <w:shd w:val="clear" w:color="auto" w:fill="31849B" w:themeFill="accent5" w:themeFillShade="BF"/>
            <w:vAlign w:val="center"/>
            <w:hideMark/>
          </w:tcPr>
          <w:p w:rsidR="00C80C29" w:rsidRPr="00000E33" w:rsidRDefault="00C80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  <w:tc>
          <w:tcPr>
            <w:tcW w:w="1300" w:type="dxa"/>
            <w:shd w:val="clear" w:color="auto" w:fill="31849B" w:themeFill="accent5" w:themeFillShade="BF"/>
            <w:vAlign w:val="center"/>
            <w:hideMark/>
          </w:tcPr>
          <w:p w:rsidR="00C80C29" w:rsidRPr="00000E33" w:rsidRDefault="00C80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0E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Cajeros Automáticos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138.256.643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24.006.634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162.263.277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46.541.146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4.355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44.433.902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2.300.179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46.734.081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15.025.123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1.830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33.548.233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3.295.244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36.843.477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10.464.779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1.751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36.627.392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2.480.423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39.107.815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11.167.378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1.347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11.016.114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2.747.912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13.764.026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3.796.054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1.124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15.724.455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3.081.086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18.805.541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5.024.484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21.259.240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3.025.638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24.284.878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6.198.162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4.268.309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213.481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4.481.790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2.866.019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2.555.945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139.593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2.695.538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893.543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7.947.146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2.590.625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10.537.771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2.581.917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4.356.729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234.516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4.591.245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1.454.624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Falabella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1.008.983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238.899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1.247.882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253.403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Pichincha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465.128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457.286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922.414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229.216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Procredit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19.503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21.219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5.898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8.139.925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471.440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8.611.365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2.693.843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1.900.623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286.822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2.187.445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484.553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834.369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123.392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957.761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266.958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Mundo Mujer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105.538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12.460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117.998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21.841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 xml:space="preserve">Bancamía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69.960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70.586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17.327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Finandina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58.986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58.986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23.671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Coopcentral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49.376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4.877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54.253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20.104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Bancompartir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7.561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8.765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Multibank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433.352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433.352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156.031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Financiera Juriscoop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349.328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23.818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373.146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113.780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Giros &amp; Finanzas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119.304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9.887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129.191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41.259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38.090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5.745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43.835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10.242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Coltefinanciera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9.149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9.772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2.538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Confiar Cooperativa Financiera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302.413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61.141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363.554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62.962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Cotrafa Financiera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136.497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21.277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157.774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33.764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Cooperativa Financiera de Antioquia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100.223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100.223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25.067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Coofinep Cooperativa Financiera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17.044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19.171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2.693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6C8F" w:rsidRPr="00000E33" w:rsidTr="00C80C29">
        <w:trPr>
          <w:trHeight w:val="340"/>
        </w:trPr>
        <w:tc>
          <w:tcPr>
            <w:tcW w:w="441" w:type="dxa"/>
            <w:vAlign w:val="center"/>
          </w:tcPr>
          <w:p w:rsidR="00836C8F" w:rsidRPr="00000E33" w:rsidRDefault="00836C8F" w:rsidP="00C80C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36C8F" w:rsidRPr="00836C8F" w:rsidRDefault="00836C8F" w:rsidP="00836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ervibanca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C8F" w:rsidRPr="00836C8F" w:rsidRDefault="00836C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C8F">
              <w:rPr>
                <w:rFonts w:ascii="Arial" w:hAnsi="Arial" w:cs="Arial"/>
                <w:color w:val="000000"/>
                <w:sz w:val="18"/>
                <w:szCs w:val="18"/>
              </w:rPr>
              <w:t>2.287</w:t>
            </w:r>
          </w:p>
        </w:tc>
      </w:tr>
      <w:tr w:rsidR="00836C8F" w:rsidRPr="00000E33" w:rsidTr="00836C8F">
        <w:trPr>
          <w:trHeight w:val="397"/>
        </w:trPr>
        <w:tc>
          <w:tcPr>
            <w:tcW w:w="2724" w:type="dxa"/>
            <w:gridSpan w:val="2"/>
            <w:shd w:val="clear" w:color="auto" w:fill="31849B" w:themeFill="accent5" w:themeFillShade="BF"/>
            <w:vAlign w:val="center"/>
          </w:tcPr>
          <w:p w:rsidR="00836C8F" w:rsidRPr="00000E33" w:rsidRDefault="00836C8F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48" w:type="dxa"/>
            <w:shd w:val="clear" w:color="auto" w:fill="31849B" w:themeFill="accent5" w:themeFillShade="BF"/>
            <w:vAlign w:val="center"/>
            <w:hideMark/>
          </w:tcPr>
          <w:p w:rsidR="00836C8F" w:rsidRPr="00836C8F" w:rsidRDefault="00836C8F" w:rsidP="00836C8F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36C8F">
              <w:rPr>
                <w:rFonts w:ascii="Arial" w:hAnsi="Arial" w:cs="Arial"/>
                <w:b/>
                <w:color w:val="FFFFFF" w:themeColor="background1"/>
                <w:sz w:val="18"/>
              </w:rPr>
              <w:t>334.160.054</w:t>
            </w:r>
          </w:p>
        </w:tc>
        <w:tc>
          <w:tcPr>
            <w:tcW w:w="1248" w:type="dxa"/>
            <w:shd w:val="clear" w:color="auto" w:fill="31849B" w:themeFill="accent5" w:themeFillShade="BF"/>
            <w:vAlign w:val="center"/>
            <w:hideMark/>
          </w:tcPr>
          <w:p w:rsidR="00836C8F" w:rsidRPr="00836C8F" w:rsidRDefault="00836C8F" w:rsidP="00836C8F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36C8F">
              <w:rPr>
                <w:rFonts w:ascii="Arial" w:hAnsi="Arial" w:cs="Arial"/>
                <w:b/>
                <w:color w:val="FFFFFF" w:themeColor="background1"/>
                <w:sz w:val="18"/>
              </w:rPr>
              <w:t>45.838.697</w:t>
            </w:r>
          </w:p>
        </w:tc>
        <w:tc>
          <w:tcPr>
            <w:tcW w:w="1247" w:type="dxa"/>
            <w:shd w:val="clear" w:color="auto" w:fill="31849B" w:themeFill="accent5" w:themeFillShade="BF"/>
            <w:vAlign w:val="center"/>
            <w:hideMark/>
          </w:tcPr>
          <w:p w:rsidR="00836C8F" w:rsidRPr="00836C8F" w:rsidRDefault="00836C8F" w:rsidP="00836C8F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36C8F">
              <w:rPr>
                <w:rFonts w:ascii="Arial" w:hAnsi="Arial" w:cs="Arial"/>
                <w:b/>
                <w:color w:val="FFFFFF" w:themeColor="background1"/>
                <w:sz w:val="18"/>
              </w:rPr>
              <w:t>379.998.751</w:t>
            </w:r>
          </w:p>
        </w:tc>
        <w:tc>
          <w:tcPr>
            <w:tcW w:w="1248" w:type="dxa"/>
            <w:shd w:val="clear" w:color="auto" w:fill="31849B" w:themeFill="accent5" w:themeFillShade="BF"/>
            <w:vAlign w:val="center"/>
            <w:hideMark/>
          </w:tcPr>
          <w:p w:rsidR="00836C8F" w:rsidRPr="00836C8F" w:rsidRDefault="00773965" w:rsidP="00836C8F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$</w:t>
            </w:r>
            <w:r w:rsidR="00836C8F" w:rsidRPr="00836C8F">
              <w:rPr>
                <w:rFonts w:ascii="Arial" w:hAnsi="Arial" w:cs="Arial"/>
                <w:b/>
                <w:color w:val="FFFFFF" w:themeColor="background1"/>
                <w:sz w:val="18"/>
              </w:rPr>
              <w:t>110.480.150</w:t>
            </w:r>
          </w:p>
        </w:tc>
        <w:tc>
          <w:tcPr>
            <w:tcW w:w="1300" w:type="dxa"/>
            <w:shd w:val="clear" w:color="auto" w:fill="31849B" w:themeFill="accent5" w:themeFillShade="BF"/>
            <w:vAlign w:val="center"/>
            <w:hideMark/>
          </w:tcPr>
          <w:p w:rsidR="00836C8F" w:rsidRPr="00836C8F" w:rsidRDefault="00836C8F" w:rsidP="00836C8F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36C8F">
              <w:rPr>
                <w:rFonts w:ascii="Arial" w:hAnsi="Arial" w:cs="Arial"/>
                <w:b/>
                <w:color w:val="FFFFFF" w:themeColor="background1"/>
                <w:sz w:val="18"/>
              </w:rPr>
              <w:t>15.291</w:t>
            </w:r>
          </w:p>
        </w:tc>
      </w:tr>
    </w:tbl>
    <w:p w:rsidR="00F87BDF" w:rsidRDefault="00F87BDF" w:rsidP="00F87BDF">
      <w:pPr>
        <w:rPr>
          <w:rFonts w:ascii="Arial" w:hAnsi="Arial" w:cs="Arial"/>
          <w:sz w:val="22"/>
          <w:szCs w:val="16"/>
        </w:rPr>
      </w:pPr>
    </w:p>
    <w:p w:rsidR="00CB0B31" w:rsidRPr="00615268" w:rsidRDefault="00CB0B31" w:rsidP="00011046">
      <w:pPr>
        <w:pStyle w:val="Ttulo1"/>
        <w:numPr>
          <w:ilvl w:val="1"/>
          <w:numId w:val="30"/>
        </w:numPr>
        <w:spacing w:before="0" w:after="0"/>
        <w:ind w:left="567" w:hanging="567"/>
        <w:rPr>
          <w:sz w:val="24"/>
          <w:szCs w:val="24"/>
        </w:rPr>
      </w:pPr>
      <w:bookmarkStart w:id="83" w:name="_Toc209150990"/>
      <w:bookmarkStart w:id="84" w:name="_Toc210206812"/>
      <w:bookmarkStart w:id="85" w:name="_Toc256582616"/>
      <w:bookmarkStart w:id="86" w:name="_Toc413319459"/>
      <w:bookmarkStart w:id="87" w:name="_Toc413319758"/>
      <w:bookmarkStart w:id="88" w:name="_Toc413320314"/>
      <w:bookmarkStart w:id="89" w:name="_Toc491787010"/>
      <w:r w:rsidRPr="00615268">
        <w:rPr>
          <w:sz w:val="24"/>
          <w:szCs w:val="24"/>
        </w:rPr>
        <w:t>Canal Datáfonos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943B7C" w:rsidRDefault="00943B7C" w:rsidP="00770FBA">
      <w:pPr>
        <w:jc w:val="both"/>
        <w:rPr>
          <w:rFonts w:ascii="Arial" w:hAnsi="Arial" w:cs="Arial"/>
          <w:sz w:val="22"/>
          <w:szCs w:val="22"/>
        </w:rPr>
      </w:pPr>
    </w:p>
    <w:p w:rsidR="009B5706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EA2F4D">
        <w:rPr>
          <w:rFonts w:ascii="Arial" w:hAnsi="Arial" w:cs="Arial"/>
          <w:sz w:val="22"/>
          <w:szCs w:val="22"/>
        </w:rPr>
        <w:t>E</w:t>
      </w:r>
      <w:r w:rsidR="00D05F16">
        <w:rPr>
          <w:rFonts w:ascii="Arial" w:hAnsi="Arial" w:cs="Arial"/>
          <w:sz w:val="22"/>
          <w:szCs w:val="22"/>
        </w:rPr>
        <w:t>n el</w:t>
      </w:r>
      <w:r w:rsidRPr="00EA2F4D">
        <w:rPr>
          <w:rFonts w:ascii="Arial" w:hAnsi="Arial" w:cs="Arial"/>
          <w:sz w:val="22"/>
          <w:szCs w:val="22"/>
        </w:rPr>
        <w:t xml:space="preserve"> sistema financiero </w:t>
      </w:r>
      <w:r w:rsidR="00D05F16">
        <w:rPr>
          <w:rFonts w:ascii="Arial" w:hAnsi="Arial" w:cs="Arial"/>
          <w:sz w:val="22"/>
          <w:szCs w:val="22"/>
        </w:rPr>
        <w:t>operan</w:t>
      </w:r>
      <w:r w:rsidR="005A4D26" w:rsidRPr="00EA2F4D">
        <w:rPr>
          <w:rFonts w:ascii="Arial" w:hAnsi="Arial" w:cs="Arial"/>
          <w:sz w:val="22"/>
          <w:szCs w:val="22"/>
        </w:rPr>
        <w:t xml:space="preserve"> </w:t>
      </w:r>
      <w:r w:rsidR="004544A6">
        <w:rPr>
          <w:rFonts w:ascii="Arial" w:hAnsi="Arial" w:cs="Arial"/>
          <w:sz w:val="22"/>
          <w:szCs w:val="22"/>
        </w:rPr>
        <w:t>381</w:t>
      </w:r>
      <w:r w:rsidR="0010011F">
        <w:rPr>
          <w:rFonts w:ascii="Arial" w:hAnsi="Arial" w:cs="Arial"/>
          <w:sz w:val="22"/>
          <w:szCs w:val="22"/>
        </w:rPr>
        <w:t>.</w:t>
      </w:r>
      <w:r w:rsidR="004544A6">
        <w:rPr>
          <w:rFonts w:ascii="Arial" w:hAnsi="Arial" w:cs="Arial"/>
          <w:sz w:val="22"/>
          <w:szCs w:val="22"/>
        </w:rPr>
        <w:t>960</w:t>
      </w:r>
      <w:r w:rsidRPr="00EA2F4D">
        <w:rPr>
          <w:rFonts w:ascii="Arial" w:hAnsi="Arial" w:cs="Arial"/>
          <w:sz w:val="22"/>
          <w:szCs w:val="22"/>
        </w:rPr>
        <w:t xml:space="preserve"> datáfonos, en los cuales se realizaron </w:t>
      </w:r>
      <w:r w:rsidR="006A7407" w:rsidRPr="006A7407">
        <w:rPr>
          <w:rFonts w:ascii="Arial" w:hAnsi="Arial" w:cs="Arial"/>
          <w:sz w:val="22"/>
          <w:szCs w:val="22"/>
        </w:rPr>
        <w:t>268.467.456</w:t>
      </w:r>
      <w:r w:rsidR="00D05F16">
        <w:rPr>
          <w:rFonts w:ascii="Arial" w:hAnsi="Arial" w:cs="Arial"/>
          <w:sz w:val="22"/>
          <w:szCs w:val="22"/>
        </w:rPr>
        <w:t xml:space="preserve"> </w:t>
      </w:r>
      <w:r w:rsidRPr="00EA2F4D">
        <w:rPr>
          <w:rFonts w:ascii="Arial" w:hAnsi="Arial" w:cs="Arial"/>
          <w:bCs/>
          <w:sz w:val="22"/>
          <w:szCs w:val="22"/>
          <w:lang w:val="es-ES_tradnl" w:eastAsia="es-ES_tradnl"/>
        </w:rPr>
        <w:t xml:space="preserve">operaciones; </w:t>
      </w:r>
      <w:r w:rsidR="006A7407" w:rsidRPr="006A7407">
        <w:rPr>
          <w:rFonts w:ascii="Arial" w:hAnsi="Arial" w:cs="Arial"/>
          <w:bCs/>
          <w:sz w:val="22"/>
          <w:szCs w:val="22"/>
          <w:lang w:val="es-ES_tradnl" w:eastAsia="es-ES_tradnl"/>
        </w:rPr>
        <w:t>256.855.300</w:t>
      </w:r>
      <w:r w:rsidR="00D05F16">
        <w:rPr>
          <w:rFonts w:ascii="Arial" w:hAnsi="Arial" w:cs="Arial"/>
          <w:bCs/>
          <w:sz w:val="22"/>
          <w:szCs w:val="22"/>
          <w:lang w:val="es-ES_tradnl" w:eastAsia="es-ES_tradnl"/>
        </w:rPr>
        <w:t xml:space="preserve"> </w:t>
      </w:r>
      <w:r w:rsidRPr="00EA2F4D">
        <w:rPr>
          <w:rFonts w:ascii="Arial" w:hAnsi="Arial" w:cs="Arial"/>
          <w:bCs/>
          <w:sz w:val="22"/>
          <w:szCs w:val="22"/>
        </w:rPr>
        <w:t>monetarias por $</w:t>
      </w:r>
      <w:r w:rsidR="006A7407">
        <w:rPr>
          <w:rFonts w:ascii="Arial" w:hAnsi="Arial" w:cs="Arial"/>
          <w:bCs/>
          <w:sz w:val="22"/>
          <w:szCs w:val="22"/>
        </w:rPr>
        <w:t>44</w:t>
      </w:r>
      <w:r w:rsidR="00F737E6" w:rsidRPr="00EA2F4D">
        <w:rPr>
          <w:rFonts w:ascii="Arial" w:hAnsi="Arial" w:cs="Arial"/>
          <w:bCs/>
          <w:sz w:val="22"/>
          <w:szCs w:val="22"/>
        </w:rPr>
        <w:t>,</w:t>
      </w:r>
      <w:r w:rsidR="006A7407">
        <w:rPr>
          <w:rFonts w:ascii="Arial" w:hAnsi="Arial" w:cs="Arial"/>
          <w:bCs/>
          <w:sz w:val="22"/>
          <w:szCs w:val="22"/>
        </w:rPr>
        <w:t>2</w:t>
      </w:r>
      <w:r w:rsidR="00E70665">
        <w:rPr>
          <w:rFonts w:ascii="Arial" w:hAnsi="Arial" w:cs="Arial"/>
          <w:bCs/>
          <w:sz w:val="22"/>
          <w:szCs w:val="22"/>
        </w:rPr>
        <w:t xml:space="preserve"> </w:t>
      </w:r>
      <w:r w:rsidRPr="004B5C0E">
        <w:rPr>
          <w:rFonts w:ascii="Arial" w:hAnsi="Arial" w:cs="Arial"/>
          <w:bCs/>
          <w:sz w:val="22"/>
          <w:szCs w:val="22"/>
        </w:rPr>
        <w:t>billones</w:t>
      </w:r>
      <w:r w:rsidR="00D72DFD">
        <w:rPr>
          <w:rFonts w:ascii="Arial" w:hAnsi="Arial" w:cs="Arial"/>
          <w:bCs/>
          <w:sz w:val="22"/>
          <w:szCs w:val="22"/>
        </w:rPr>
        <w:t xml:space="preserve"> de pesos</w:t>
      </w:r>
      <w:r w:rsidRPr="004B5C0E">
        <w:rPr>
          <w:rFonts w:ascii="Arial" w:hAnsi="Arial" w:cs="Arial"/>
          <w:bCs/>
          <w:sz w:val="22"/>
          <w:szCs w:val="22"/>
        </w:rPr>
        <w:t xml:space="preserve"> </w:t>
      </w:r>
      <w:r w:rsidRPr="004B5C0E">
        <w:rPr>
          <w:rFonts w:ascii="Arial" w:hAnsi="Arial" w:cs="Arial"/>
          <w:sz w:val="22"/>
          <w:szCs w:val="22"/>
        </w:rPr>
        <w:t xml:space="preserve">y </w:t>
      </w:r>
      <w:r w:rsidR="006A7407" w:rsidRPr="006A7407">
        <w:rPr>
          <w:rFonts w:ascii="Arial" w:hAnsi="Arial" w:cs="Arial"/>
          <w:sz w:val="22"/>
          <w:szCs w:val="22"/>
        </w:rPr>
        <w:t>11.612.156</w:t>
      </w:r>
      <w:r w:rsidR="0010011F">
        <w:rPr>
          <w:rFonts w:ascii="Arial" w:hAnsi="Arial" w:cs="Arial"/>
          <w:sz w:val="22"/>
          <w:szCs w:val="22"/>
        </w:rPr>
        <w:t xml:space="preserve"> </w:t>
      </w:r>
      <w:r w:rsidR="00E32A15">
        <w:rPr>
          <w:rFonts w:ascii="Arial" w:hAnsi="Arial" w:cs="Arial"/>
          <w:sz w:val="22"/>
          <w:szCs w:val="22"/>
        </w:rPr>
        <w:t>no monetarias.</w:t>
      </w:r>
    </w:p>
    <w:p w:rsidR="0010011F" w:rsidRDefault="0010011F" w:rsidP="009B5706">
      <w:pPr>
        <w:jc w:val="right"/>
        <w:rPr>
          <w:rFonts w:ascii="Arial" w:hAnsi="Arial" w:cs="Arial"/>
          <w:b/>
          <w:sz w:val="16"/>
          <w:szCs w:val="22"/>
        </w:rPr>
      </w:pPr>
    </w:p>
    <w:p w:rsidR="007D64E2" w:rsidRDefault="007D64E2" w:rsidP="009B5706">
      <w:pPr>
        <w:jc w:val="right"/>
        <w:rPr>
          <w:rFonts w:ascii="Arial" w:hAnsi="Arial" w:cs="Arial"/>
          <w:b/>
          <w:sz w:val="16"/>
          <w:szCs w:val="22"/>
        </w:rPr>
      </w:pPr>
    </w:p>
    <w:p w:rsidR="007D64E2" w:rsidRDefault="007D64E2" w:rsidP="009B5706">
      <w:pPr>
        <w:jc w:val="right"/>
        <w:rPr>
          <w:rFonts w:ascii="Arial" w:hAnsi="Arial" w:cs="Arial"/>
          <w:b/>
          <w:sz w:val="16"/>
          <w:szCs w:val="22"/>
        </w:rPr>
      </w:pPr>
    </w:p>
    <w:p w:rsidR="00EA2F4D" w:rsidRDefault="009B5706" w:rsidP="009B5706">
      <w:pPr>
        <w:jc w:val="right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Montos en millones de pesos</w:t>
      </w:r>
    </w:p>
    <w:tbl>
      <w:tblPr>
        <w:tblW w:w="901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29"/>
        <w:gridCol w:w="1309"/>
        <w:gridCol w:w="1309"/>
        <w:gridCol w:w="1250"/>
        <w:gridCol w:w="1309"/>
        <w:gridCol w:w="1068"/>
      </w:tblGrid>
      <w:tr w:rsidR="000F74E9" w:rsidRPr="006A7407" w:rsidTr="00284509">
        <w:trPr>
          <w:trHeight w:val="20"/>
          <w:tblHeader/>
        </w:trPr>
        <w:tc>
          <w:tcPr>
            <w:tcW w:w="441" w:type="dxa"/>
            <w:shd w:val="clear" w:color="auto" w:fill="31849B" w:themeFill="accent5" w:themeFillShade="BF"/>
            <w:vAlign w:val="center"/>
          </w:tcPr>
          <w:p w:rsidR="000F74E9" w:rsidRPr="006A7407" w:rsidRDefault="000F74E9" w:rsidP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329" w:type="dxa"/>
            <w:shd w:val="clear" w:color="auto" w:fill="31849B" w:themeFill="accent5" w:themeFillShade="BF"/>
            <w:vAlign w:val="center"/>
            <w:hideMark/>
          </w:tcPr>
          <w:p w:rsidR="000F74E9" w:rsidRPr="006A7407" w:rsidRDefault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309" w:type="dxa"/>
            <w:shd w:val="clear" w:color="auto" w:fill="31849B" w:themeFill="accent5" w:themeFillShade="BF"/>
            <w:vAlign w:val="center"/>
            <w:hideMark/>
          </w:tcPr>
          <w:p w:rsidR="000F74E9" w:rsidRPr="006A7407" w:rsidRDefault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309" w:type="dxa"/>
            <w:shd w:val="clear" w:color="auto" w:fill="31849B" w:themeFill="accent5" w:themeFillShade="BF"/>
            <w:vAlign w:val="center"/>
            <w:hideMark/>
          </w:tcPr>
          <w:p w:rsidR="000F74E9" w:rsidRPr="006A7407" w:rsidRDefault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250" w:type="dxa"/>
            <w:shd w:val="clear" w:color="auto" w:fill="31849B" w:themeFill="accent5" w:themeFillShade="BF"/>
            <w:vAlign w:val="center"/>
            <w:hideMark/>
          </w:tcPr>
          <w:p w:rsidR="000F74E9" w:rsidRPr="006A7407" w:rsidRDefault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309" w:type="dxa"/>
            <w:shd w:val="clear" w:color="auto" w:fill="31849B" w:themeFill="accent5" w:themeFillShade="BF"/>
            <w:vAlign w:val="center"/>
            <w:hideMark/>
          </w:tcPr>
          <w:p w:rsidR="000F74E9" w:rsidRPr="006A7407" w:rsidRDefault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  <w:tc>
          <w:tcPr>
            <w:tcW w:w="1068" w:type="dxa"/>
            <w:shd w:val="clear" w:color="auto" w:fill="31849B" w:themeFill="accent5" w:themeFillShade="BF"/>
            <w:vAlign w:val="center"/>
            <w:hideMark/>
          </w:tcPr>
          <w:p w:rsidR="000F74E9" w:rsidRPr="006A7407" w:rsidRDefault="000F74E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Datafonos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Bancolombia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88.740.488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5.074.786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93.815.274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14.039.102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16.320.368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19.670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16.340.038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2.788.965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Banco </w:t>
            </w:r>
            <w:r w:rsidRPr="006A7407">
              <w:rPr>
                <w:rFonts w:ascii="Arial" w:hAnsi="Arial" w:cs="Arial"/>
                <w:sz w:val="18"/>
                <w:szCs w:val="18"/>
              </w:rPr>
              <w:t>AV Villas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7.695.325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898.214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8.593.539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2.648.513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695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Bancoomeva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1.331.384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1.344.636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449.650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Tuya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12.516.798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278.030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12.794.828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4.153.973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Procredit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11.726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12.036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Davivienda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31.401.578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796.743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32.198.321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5.676.850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BBVA Colombia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19.915.060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19.915.060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2.744.957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Banco </w:t>
            </w:r>
            <w:r w:rsidRPr="006A7407">
              <w:rPr>
                <w:rFonts w:ascii="Arial" w:hAnsi="Arial" w:cs="Arial"/>
                <w:sz w:val="18"/>
                <w:szCs w:val="18"/>
              </w:rPr>
              <w:t>Colpatria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17.161.111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3.452.706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20.613.817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2.676.953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Citibank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12.315.256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12.315.256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2.076.740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Falabella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10.733.921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14.351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10.748.272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1.059.134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de Occidente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9.194.908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9.194.908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2.024.996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</w:t>
            </w:r>
            <w:r>
              <w:rPr>
                <w:rFonts w:ascii="Arial" w:hAnsi="Arial" w:cs="Arial"/>
                <w:sz w:val="18"/>
                <w:szCs w:val="18"/>
              </w:rPr>
              <w:t>co A</w:t>
            </w:r>
            <w:r w:rsidRPr="006A7407">
              <w:rPr>
                <w:rFonts w:ascii="Arial" w:hAnsi="Arial" w:cs="Arial"/>
                <w:sz w:val="18"/>
                <w:szCs w:val="18"/>
              </w:rPr>
              <w:t>grario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8.907.635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59.347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8.966.982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391.257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Caja Social BCS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5.718.297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495.777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6.214.074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608.584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Itaú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4.499.749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4.508.796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799.552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Popular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2.528.145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114.332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2.642.477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317.082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GNB Sudameris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1.729.251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1.729.251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510.474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Finandina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164.547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164.547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48.452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 xml:space="preserve">Banco Pichincha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162.180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202.031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364.211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32.045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Bancamía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78.396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78.396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17.059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 Mundo Mujer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34.636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35.896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Coopcentral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14.162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15.216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29.378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Bancompartir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Multibank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Serfinansa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5.057.446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5.057.446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1.060.639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Financiera Juriscoop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209.423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76.952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286.375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36.487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 xml:space="preserve">Giros &amp; Finanzas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182.656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182.656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31.238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Coltefinanciera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15.630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Cotrafa Financiera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92.868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83.354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176.222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31.323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Confiar Cooperativa Financiera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82.737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88.747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10.729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Cooperativa Financiera de Antioquia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32.695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32.695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Coofinep Cooperativa Financiera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E95DD8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Visionamos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</w:tr>
      <w:tr w:rsidR="004544A6" w:rsidRPr="006A7407" w:rsidTr="006A7407">
        <w:trPr>
          <w:trHeight w:val="283"/>
        </w:trPr>
        <w:tc>
          <w:tcPr>
            <w:tcW w:w="441" w:type="dxa"/>
            <w:vAlign w:val="center"/>
          </w:tcPr>
          <w:p w:rsidR="004544A6" w:rsidRPr="006A7407" w:rsidRDefault="004544A6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29" w:type="dxa"/>
            <w:shd w:val="clear" w:color="auto" w:fill="auto"/>
          </w:tcPr>
          <w:p w:rsidR="004544A6" w:rsidRPr="006A7407" w:rsidRDefault="004544A6" w:rsidP="006A7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Assenda Red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544A6" w:rsidRPr="006A7407" w:rsidRDefault="004544A6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544A6" w:rsidRPr="006A7407" w:rsidRDefault="004544A6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544A6" w:rsidRPr="006A7407" w:rsidRDefault="004544A6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544A6" w:rsidRPr="006A7407" w:rsidRDefault="004544A6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44A6" w:rsidRPr="006A7407" w:rsidRDefault="004544A6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0F7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544A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 xml:space="preserve">Redeban Multicolor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156.645</w:t>
            </w:r>
          </w:p>
        </w:tc>
      </w:tr>
      <w:tr w:rsidR="006A7407" w:rsidRPr="006A7407" w:rsidTr="006A7407">
        <w:trPr>
          <w:trHeight w:val="283"/>
        </w:trPr>
        <w:tc>
          <w:tcPr>
            <w:tcW w:w="441" w:type="dxa"/>
            <w:vAlign w:val="center"/>
          </w:tcPr>
          <w:p w:rsidR="006A7407" w:rsidRPr="006A7407" w:rsidRDefault="006A7407" w:rsidP="0045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544A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9" w:type="dxa"/>
            <w:shd w:val="clear" w:color="auto" w:fill="auto"/>
            <w:hideMark/>
          </w:tcPr>
          <w:p w:rsidR="006A7407" w:rsidRPr="006A7407" w:rsidRDefault="006A7407" w:rsidP="006A7407">
            <w:pPr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 xml:space="preserve">Credibanco 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407">
              <w:rPr>
                <w:rFonts w:ascii="Arial" w:hAnsi="Arial" w:cs="Arial"/>
                <w:sz w:val="18"/>
                <w:szCs w:val="18"/>
              </w:rPr>
              <w:t>211.423</w:t>
            </w:r>
          </w:p>
        </w:tc>
      </w:tr>
      <w:tr w:rsidR="006A7407" w:rsidRPr="006A7407" w:rsidTr="00284509">
        <w:trPr>
          <w:trHeight w:val="340"/>
        </w:trPr>
        <w:tc>
          <w:tcPr>
            <w:tcW w:w="2770" w:type="dxa"/>
            <w:gridSpan w:val="2"/>
            <w:shd w:val="clear" w:color="auto" w:fill="31849B" w:themeFill="accent5" w:themeFillShade="BF"/>
            <w:vAlign w:val="center"/>
          </w:tcPr>
          <w:p w:rsidR="006A7407" w:rsidRPr="006A7407" w:rsidRDefault="006A7407" w:rsidP="006A740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09" w:type="dxa"/>
            <w:shd w:val="clear" w:color="auto" w:fill="31849B" w:themeFill="accent5" w:themeFillShade="BF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256.855.300</w:t>
            </w:r>
          </w:p>
        </w:tc>
        <w:tc>
          <w:tcPr>
            <w:tcW w:w="1309" w:type="dxa"/>
            <w:shd w:val="clear" w:color="auto" w:fill="31849B" w:themeFill="accent5" w:themeFillShade="BF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11.612.156</w:t>
            </w:r>
          </w:p>
        </w:tc>
        <w:tc>
          <w:tcPr>
            <w:tcW w:w="1250" w:type="dxa"/>
            <w:shd w:val="clear" w:color="auto" w:fill="31849B" w:themeFill="accent5" w:themeFillShade="BF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268.467.456</w:t>
            </w:r>
          </w:p>
        </w:tc>
        <w:tc>
          <w:tcPr>
            <w:tcW w:w="1309" w:type="dxa"/>
            <w:shd w:val="clear" w:color="auto" w:fill="31849B" w:themeFill="accent5" w:themeFillShade="BF"/>
            <w:vAlign w:val="center"/>
            <w:hideMark/>
          </w:tcPr>
          <w:p w:rsidR="006A7407" w:rsidRPr="006A7407" w:rsidRDefault="006A7407" w:rsidP="006A7407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44.250.734</w:t>
            </w:r>
          </w:p>
        </w:tc>
        <w:tc>
          <w:tcPr>
            <w:tcW w:w="1068" w:type="dxa"/>
            <w:shd w:val="clear" w:color="auto" w:fill="31849B" w:themeFill="accent5" w:themeFillShade="BF"/>
            <w:vAlign w:val="center"/>
            <w:hideMark/>
          </w:tcPr>
          <w:p w:rsidR="006A7407" w:rsidRPr="006A7407" w:rsidRDefault="006A7407" w:rsidP="004544A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</w:t>
            </w:r>
            <w:r w:rsidR="004544A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81</w:t>
            </w:r>
            <w:r w:rsidRPr="006A7407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.</w:t>
            </w:r>
            <w:r w:rsidR="004544A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960</w:t>
            </w:r>
          </w:p>
        </w:tc>
      </w:tr>
    </w:tbl>
    <w:p w:rsidR="00CB0B31" w:rsidRPr="009E2F86" w:rsidRDefault="00CB0B31" w:rsidP="00A70700">
      <w:pPr>
        <w:pStyle w:val="Ttulo1"/>
        <w:numPr>
          <w:ilvl w:val="1"/>
          <w:numId w:val="15"/>
        </w:numPr>
        <w:spacing w:before="0" w:after="0"/>
        <w:ind w:left="567" w:hanging="578"/>
        <w:rPr>
          <w:sz w:val="24"/>
          <w:szCs w:val="24"/>
        </w:rPr>
      </w:pPr>
      <w:bookmarkStart w:id="90" w:name="_Toc256582617"/>
      <w:bookmarkStart w:id="91" w:name="_Toc413319460"/>
      <w:bookmarkStart w:id="92" w:name="_Toc413319759"/>
      <w:bookmarkStart w:id="93" w:name="_Toc413320315"/>
      <w:bookmarkStart w:id="94" w:name="_Toc491787011"/>
      <w:r>
        <w:rPr>
          <w:sz w:val="24"/>
          <w:szCs w:val="24"/>
        </w:rPr>
        <w:t xml:space="preserve">Canal </w:t>
      </w:r>
      <w:r w:rsidR="004F2F91">
        <w:rPr>
          <w:sz w:val="24"/>
          <w:szCs w:val="24"/>
        </w:rPr>
        <w:t>Corresponsales</w:t>
      </w:r>
      <w:bookmarkEnd w:id="90"/>
      <w:bookmarkEnd w:id="91"/>
      <w:bookmarkEnd w:id="92"/>
      <w:bookmarkEnd w:id="93"/>
      <w:bookmarkEnd w:id="94"/>
    </w:p>
    <w:p w:rsidR="00CB0B31" w:rsidRPr="0049151E" w:rsidRDefault="00CB0B31" w:rsidP="00770FBA">
      <w:pPr>
        <w:jc w:val="both"/>
        <w:rPr>
          <w:rFonts w:ascii="Arial" w:hAnsi="Arial" w:cs="Arial"/>
          <w:sz w:val="22"/>
        </w:rPr>
      </w:pPr>
    </w:p>
    <w:p w:rsidR="004F2F91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777B58">
        <w:rPr>
          <w:rFonts w:ascii="Arial" w:hAnsi="Arial" w:cs="Arial"/>
          <w:sz w:val="22"/>
          <w:szCs w:val="22"/>
        </w:rPr>
        <w:t>E</w:t>
      </w:r>
      <w:r w:rsidR="004F2F91">
        <w:rPr>
          <w:rFonts w:ascii="Arial" w:hAnsi="Arial" w:cs="Arial"/>
          <w:sz w:val="22"/>
          <w:szCs w:val="22"/>
        </w:rPr>
        <w:t xml:space="preserve">n el </w:t>
      </w:r>
      <w:r w:rsidRPr="00777B58">
        <w:rPr>
          <w:rFonts w:ascii="Arial" w:hAnsi="Arial" w:cs="Arial"/>
          <w:sz w:val="22"/>
          <w:szCs w:val="22"/>
        </w:rPr>
        <w:t>sistema financiero</w:t>
      </w:r>
      <w:r w:rsidR="004F2F91">
        <w:rPr>
          <w:rFonts w:ascii="Arial" w:hAnsi="Arial" w:cs="Arial"/>
          <w:sz w:val="22"/>
          <w:szCs w:val="22"/>
        </w:rPr>
        <w:t xml:space="preserve"> operan </w:t>
      </w:r>
      <w:r w:rsidR="004F2F91" w:rsidRPr="004F2F91">
        <w:rPr>
          <w:rFonts w:ascii="Arial" w:hAnsi="Arial" w:cs="Arial"/>
          <w:sz w:val="22"/>
          <w:szCs w:val="22"/>
        </w:rPr>
        <w:t>9</w:t>
      </w:r>
      <w:r w:rsidR="00F15904">
        <w:rPr>
          <w:rFonts w:ascii="Arial" w:hAnsi="Arial" w:cs="Arial"/>
          <w:sz w:val="22"/>
          <w:szCs w:val="22"/>
        </w:rPr>
        <w:t>8</w:t>
      </w:r>
      <w:r w:rsidR="004F2F91">
        <w:rPr>
          <w:rFonts w:ascii="Arial" w:hAnsi="Arial" w:cs="Arial"/>
          <w:sz w:val="22"/>
          <w:szCs w:val="22"/>
        </w:rPr>
        <w:t>.</w:t>
      </w:r>
      <w:r w:rsidR="00917FE1">
        <w:rPr>
          <w:rFonts w:ascii="Arial" w:hAnsi="Arial" w:cs="Arial"/>
          <w:sz w:val="22"/>
          <w:szCs w:val="22"/>
        </w:rPr>
        <w:t>543</w:t>
      </w:r>
      <w:r w:rsidR="004F2F91">
        <w:rPr>
          <w:rFonts w:ascii="Arial" w:hAnsi="Arial" w:cs="Arial"/>
          <w:sz w:val="22"/>
          <w:szCs w:val="22"/>
        </w:rPr>
        <w:t xml:space="preserve"> corresponsales bancarios</w:t>
      </w:r>
      <w:r w:rsidR="00C218A1">
        <w:rPr>
          <w:rFonts w:ascii="Arial" w:hAnsi="Arial" w:cs="Arial"/>
          <w:sz w:val="22"/>
          <w:szCs w:val="22"/>
        </w:rPr>
        <w:t>,</w:t>
      </w:r>
      <w:r w:rsidR="004F2F91">
        <w:rPr>
          <w:rFonts w:ascii="Arial" w:hAnsi="Arial" w:cs="Arial"/>
          <w:sz w:val="22"/>
          <w:szCs w:val="22"/>
        </w:rPr>
        <w:t xml:space="preserve"> en los cuales se realizaron </w:t>
      </w:r>
      <w:r w:rsidR="00917FE1">
        <w:rPr>
          <w:rFonts w:ascii="Arial" w:hAnsi="Arial" w:cs="Arial"/>
          <w:sz w:val="22"/>
          <w:szCs w:val="22"/>
        </w:rPr>
        <w:t>228.061.917</w:t>
      </w:r>
      <w:r w:rsidR="0043045A">
        <w:rPr>
          <w:rFonts w:ascii="Arial" w:hAnsi="Arial" w:cs="Arial"/>
          <w:sz w:val="22"/>
          <w:szCs w:val="22"/>
        </w:rPr>
        <w:t xml:space="preserve"> operaciones monetarias por $</w:t>
      </w:r>
      <w:r w:rsidR="00917FE1">
        <w:rPr>
          <w:rFonts w:ascii="Arial" w:hAnsi="Arial" w:cs="Arial"/>
          <w:sz w:val="22"/>
          <w:szCs w:val="22"/>
        </w:rPr>
        <w:t>34,3</w:t>
      </w:r>
      <w:r w:rsidR="0043045A">
        <w:rPr>
          <w:rFonts w:ascii="Arial" w:hAnsi="Arial" w:cs="Arial"/>
          <w:sz w:val="22"/>
          <w:szCs w:val="22"/>
        </w:rPr>
        <w:t xml:space="preserve"> billones de pesos.</w:t>
      </w:r>
    </w:p>
    <w:p w:rsidR="00D72DFD" w:rsidRPr="0049151E" w:rsidRDefault="00D72DFD" w:rsidP="00027488">
      <w:pPr>
        <w:rPr>
          <w:rFonts w:ascii="Arial" w:hAnsi="Arial" w:cs="Arial"/>
          <w:sz w:val="22"/>
          <w:szCs w:val="22"/>
        </w:rPr>
      </w:pPr>
    </w:p>
    <w:p w:rsidR="004F2F91" w:rsidRDefault="00027488" w:rsidP="006D0025">
      <w:pPr>
        <w:ind w:left="5664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Montos en millones de pesos</w:t>
      </w:r>
    </w:p>
    <w:tbl>
      <w:tblPr>
        <w:tblW w:w="6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86"/>
        <w:gridCol w:w="1573"/>
        <w:gridCol w:w="1231"/>
        <w:gridCol w:w="1501"/>
      </w:tblGrid>
      <w:tr w:rsidR="002D0D3B" w:rsidRPr="00166A51" w:rsidTr="00917FE1">
        <w:trPr>
          <w:trHeight w:val="283"/>
          <w:jc w:val="center"/>
        </w:trPr>
        <w:tc>
          <w:tcPr>
            <w:tcW w:w="429" w:type="dxa"/>
            <w:shd w:val="clear" w:color="auto" w:fill="31849B" w:themeFill="accent5" w:themeFillShade="BF"/>
            <w:vAlign w:val="center"/>
          </w:tcPr>
          <w:p w:rsidR="002D0D3B" w:rsidRPr="00166A51" w:rsidRDefault="002D0D3B" w:rsidP="002D0D3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  <w:hideMark/>
          </w:tcPr>
          <w:p w:rsidR="002D0D3B" w:rsidRPr="00166A51" w:rsidRDefault="002D0D3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66A5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573" w:type="dxa"/>
            <w:shd w:val="clear" w:color="auto" w:fill="31849B" w:themeFill="accent5" w:themeFillShade="BF"/>
            <w:vAlign w:val="center"/>
            <w:hideMark/>
          </w:tcPr>
          <w:p w:rsidR="002D0D3B" w:rsidRPr="00166A51" w:rsidRDefault="002D0D3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66A5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231" w:type="dxa"/>
            <w:shd w:val="clear" w:color="auto" w:fill="31849B" w:themeFill="accent5" w:themeFillShade="BF"/>
            <w:vAlign w:val="center"/>
            <w:hideMark/>
          </w:tcPr>
          <w:p w:rsidR="002D0D3B" w:rsidRPr="00166A51" w:rsidRDefault="002D0D3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66A5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Monto de Operaciones</w:t>
            </w:r>
          </w:p>
        </w:tc>
        <w:tc>
          <w:tcPr>
            <w:tcW w:w="1501" w:type="dxa"/>
            <w:shd w:val="clear" w:color="auto" w:fill="31849B" w:themeFill="accent5" w:themeFillShade="BF"/>
            <w:vAlign w:val="center"/>
            <w:hideMark/>
          </w:tcPr>
          <w:p w:rsidR="002D0D3B" w:rsidRPr="00166A51" w:rsidRDefault="002D0D3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66A5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Corresponsales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1.819.651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812.549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10.328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AC7A04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="00917FE1" w:rsidRPr="00917FE1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130.044.322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998.584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10.229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2.943.334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222.260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10.204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4.411.055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991.933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10.140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="00917FE1" w:rsidRPr="00917FE1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4.531.745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860.990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9.975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59.129.509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24.628.596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8.200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 w:rsidR="00AC7A04"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7.552.095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1.427.699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7.550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790.257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253.147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7.088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W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103.500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27.622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6.039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 w:rsidR="00AC7A04"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1.949.973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545.146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5.161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 xml:space="preserve">Bancamía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73.302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15.372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4.787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 xml:space="preserve">Giros &amp; Finanzas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629.816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215.303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3.699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4.666.127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395.930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3.245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6.550.962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2.009.311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331.726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41.392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Bancompartir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32.100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7.737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1.446.310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545.189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AC7A04">
              <w:rPr>
                <w:rFonts w:ascii="Arial" w:hAnsi="Arial" w:cs="Arial"/>
                <w:color w:val="000000"/>
                <w:sz w:val="18"/>
                <w:szCs w:val="18"/>
              </w:rPr>
              <w:t>pportunity International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Mundo Mujer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126.890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26.751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 w:rsidP="00AC7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Falabella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843.073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337.882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Pr="003E1DE4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Cooperativa Financiera de Antioquia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85.421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8.536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917FE1" w:rsidRPr="00166A51" w:rsidTr="00917FE1">
        <w:trPr>
          <w:trHeight w:val="283"/>
          <w:jc w:val="center"/>
        </w:trPr>
        <w:tc>
          <w:tcPr>
            <w:tcW w:w="429" w:type="dxa"/>
            <w:vAlign w:val="center"/>
          </w:tcPr>
          <w:p w:rsidR="00917FE1" w:rsidRDefault="00917FE1" w:rsidP="002D0D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17FE1" w:rsidRPr="00917FE1" w:rsidRDefault="00917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17FE1" w:rsidRPr="00917FE1" w:rsidRDefault="00917F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7F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17FE1" w:rsidRPr="00166A51" w:rsidTr="00917FE1">
        <w:trPr>
          <w:trHeight w:val="397"/>
          <w:jc w:val="center"/>
        </w:trPr>
        <w:tc>
          <w:tcPr>
            <w:tcW w:w="2615" w:type="dxa"/>
            <w:gridSpan w:val="2"/>
            <w:shd w:val="clear" w:color="auto" w:fill="31849B" w:themeFill="accent5" w:themeFillShade="BF"/>
            <w:vAlign w:val="center"/>
          </w:tcPr>
          <w:p w:rsidR="00917FE1" w:rsidRPr="003E1DE4" w:rsidRDefault="00917FE1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573" w:type="dxa"/>
            <w:shd w:val="clear" w:color="auto" w:fill="31849B" w:themeFill="accent5" w:themeFillShade="BF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917FE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228.061.917</w:t>
            </w:r>
          </w:p>
        </w:tc>
        <w:tc>
          <w:tcPr>
            <w:tcW w:w="1231" w:type="dxa"/>
            <w:shd w:val="clear" w:color="auto" w:fill="31849B" w:themeFill="accent5" w:themeFillShade="BF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917FE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34.372.211</w:t>
            </w:r>
          </w:p>
        </w:tc>
        <w:tc>
          <w:tcPr>
            <w:tcW w:w="1501" w:type="dxa"/>
            <w:shd w:val="clear" w:color="auto" w:fill="31849B" w:themeFill="accent5" w:themeFillShade="BF"/>
            <w:vAlign w:val="center"/>
            <w:hideMark/>
          </w:tcPr>
          <w:p w:rsidR="00917FE1" w:rsidRPr="00917FE1" w:rsidRDefault="00917FE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917FE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98.543</w:t>
            </w:r>
          </w:p>
        </w:tc>
      </w:tr>
    </w:tbl>
    <w:p w:rsidR="00267AE8" w:rsidRDefault="00267AE8" w:rsidP="00770FBA">
      <w:pPr>
        <w:jc w:val="both"/>
        <w:rPr>
          <w:rFonts w:ascii="Arial" w:hAnsi="Arial" w:cs="Arial"/>
          <w:sz w:val="22"/>
          <w:szCs w:val="22"/>
        </w:rPr>
      </w:pPr>
    </w:p>
    <w:p w:rsidR="004F2F91" w:rsidRPr="003F0802" w:rsidRDefault="003F0802" w:rsidP="005102C8">
      <w:pPr>
        <w:pStyle w:val="Ttulo1"/>
        <w:numPr>
          <w:ilvl w:val="1"/>
          <w:numId w:val="31"/>
        </w:numPr>
        <w:spacing w:before="0" w:after="0"/>
        <w:ind w:left="567" w:hanging="567"/>
        <w:rPr>
          <w:sz w:val="24"/>
          <w:szCs w:val="24"/>
        </w:rPr>
      </w:pPr>
      <w:bookmarkStart w:id="95" w:name="_Toc413319461"/>
      <w:bookmarkStart w:id="96" w:name="_Toc413319760"/>
      <w:bookmarkStart w:id="97" w:name="_Toc413320316"/>
      <w:bookmarkStart w:id="98" w:name="_Toc491787012"/>
      <w:r w:rsidRPr="003F0802">
        <w:rPr>
          <w:sz w:val="24"/>
          <w:szCs w:val="24"/>
        </w:rPr>
        <w:t>Canal Audio Respuesta</w:t>
      </w:r>
      <w:bookmarkEnd w:id="95"/>
      <w:bookmarkEnd w:id="96"/>
      <w:bookmarkEnd w:id="97"/>
      <w:bookmarkEnd w:id="98"/>
    </w:p>
    <w:p w:rsidR="004F2F91" w:rsidRDefault="004F2F91" w:rsidP="00770FBA">
      <w:pPr>
        <w:jc w:val="both"/>
        <w:rPr>
          <w:rFonts w:ascii="Arial" w:hAnsi="Arial" w:cs="Arial"/>
          <w:sz w:val="22"/>
          <w:szCs w:val="22"/>
        </w:rPr>
      </w:pPr>
    </w:p>
    <w:p w:rsidR="00CB0B31" w:rsidRDefault="00B90B38" w:rsidP="00770F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sistema financiero </w:t>
      </w:r>
      <w:r w:rsidR="00CB0B31" w:rsidRPr="00777B58">
        <w:rPr>
          <w:rFonts w:ascii="Arial" w:hAnsi="Arial" w:cs="Arial"/>
          <w:sz w:val="22"/>
          <w:szCs w:val="22"/>
        </w:rPr>
        <w:t xml:space="preserve">reportó </w:t>
      </w:r>
      <w:r w:rsidR="006E4040" w:rsidRPr="006E4040">
        <w:rPr>
          <w:rFonts w:ascii="Arial" w:hAnsi="Arial" w:cs="Arial"/>
          <w:sz w:val="22"/>
          <w:szCs w:val="22"/>
        </w:rPr>
        <w:t>59.634.093</w:t>
      </w:r>
      <w:r>
        <w:rPr>
          <w:rFonts w:ascii="Arial" w:hAnsi="Arial" w:cs="Arial"/>
          <w:sz w:val="22"/>
          <w:szCs w:val="22"/>
        </w:rPr>
        <w:t xml:space="preserve"> </w:t>
      </w:r>
      <w:r w:rsidR="00CB0B31" w:rsidRPr="00777B58">
        <w:rPr>
          <w:rFonts w:ascii="Arial" w:hAnsi="Arial" w:cs="Arial"/>
          <w:bCs/>
          <w:sz w:val="22"/>
          <w:szCs w:val="22"/>
          <w:lang w:val="es-ES_tradnl" w:eastAsia="es-ES_tradnl"/>
        </w:rPr>
        <w:t xml:space="preserve">operaciones realizadas en el canal </w:t>
      </w:r>
      <w:r w:rsidR="00CB0B31" w:rsidRPr="00777B58">
        <w:rPr>
          <w:rFonts w:ascii="Arial" w:hAnsi="Arial" w:cs="Arial"/>
          <w:sz w:val="22"/>
          <w:szCs w:val="22"/>
        </w:rPr>
        <w:t>Audio Respuesta</w:t>
      </w:r>
      <w:r w:rsidR="00CB0B31" w:rsidRPr="00777B58">
        <w:rPr>
          <w:rFonts w:ascii="Arial" w:hAnsi="Arial" w:cs="Arial"/>
          <w:bCs/>
          <w:sz w:val="22"/>
          <w:szCs w:val="22"/>
          <w:lang w:val="es-ES_tradnl" w:eastAsia="es-ES_tradnl"/>
        </w:rPr>
        <w:t xml:space="preserve">; </w:t>
      </w:r>
      <w:r w:rsidR="006E4040" w:rsidRPr="006E4040">
        <w:rPr>
          <w:rFonts w:ascii="Arial" w:hAnsi="Arial" w:cs="Arial"/>
          <w:bCs/>
          <w:sz w:val="22"/>
          <w:szCs w:val="22"/>
          <w:lang w:val="es-ES_tradnl" w:eastAsia="es-ES_tradnl"/>
        </w:rPr>
        <w:t>2.441.514</w:t>
      </w:r>
      <w:r w:rsidR="00AE521D">
        <w:rPr>
          <w:rFonts w:ascii="Arial" w:hAnsi="Arial" w:cs="Arial"/>
          <w:bCs/>
          <w:sz w:val="22"/>
          <w:szCs w:val="22"/>
          <w:lang w:val="es-ES_tradnl" w:eastAsia="es-ES_tradnl"/>
        </w:rPr>
        <w:t xml:space="preserve"> </w:t>
      </w:r>
      <w:r w:rsidR="00CB0B31" w:rsidRPr="00777B58">
        <w:rPr>
          <w:rFonts w:ascii="Arial" w:hAnsi="Arial" w:cs="Arial"/>
          <w:bCs/>
          <w:sz w:val="22"/>
          <w:szCs w:val="22"/>
        </w:rPr>
        <w:t>monetarias por $</w:t>
      </w:r>
      <w:r w:rsidR="00AB6A67">
        <w:rPr>
          <w:rFonts w:ascii="Arial" w:hAnsi="Arial" w:cs="Arial"/>
          <w:bCs/>
          <w:sz w:val="22"/>
          <w:szCs w:val="22"/>
        </w:rPr>
        <w:t>1</w:t>
      </w:r>
      <w:r w:rsidR="002D503B" w:rsidRPr="00777B58">
        <w:rPr>
          <w:rFonts w:ascii="Arial" w:hAnsi="Arial" w:cs="Arial"/>
          <w:bCs/>
          <w:sz w:val="22"/>
          <w:szCs w:val="22"/>
        </w:rPr>
        <w:t>,</w:t>
      </w:r>
      <w:r w:rsidR="006E4040">
        <w:rPr>
          <w:rFonts w:ascii="Arial" w:hAnsi="Arial" w:cs="Arial"/>
          <w:bCs/>
          <w:sz w:val="22"/>
          <w:szCs w:val="22"/>
        </w:rPr>
        <w:t>1</w:t>
      </w:r>
      <w:r w:rsidR="00BC7C41">
        <w:rPr>
          <w:rFonts w:ascii="Arial" w:hAnsi="Arial" w:cs="Arial"/>
          <w:bCs/>
          <w:sz w:val="22"/>
          <w:szCs w:val="22"/>
        </w:rPr>
        <w:t xml:space="preserve"> billón d</w:t>
      </w:r>
      <w:r w:rsidR="002B7851">
        <w:rPr>
          <w:rFonts w:ascii="Arial" w:hAnsi="Arial" w:cs="Arial"/>
          <w:bCs/>
          <w:sz w:val="22"/>
          <w:szCs w:val="22"/>
        </w:rPr>
        <w:t>e pesos</w:t>
      </w:r>
      <w:r w:rsidR="00CB0B31" w:rsidRPr="00777B58">
        <w:rPr>
          <w:rFonts w:ascii="Arial" w:hAnsi="Arial" w:cs="Arial"/>
          <w:bCs/>
          <w:sz w:val="22"/>
          <w:szCs w:val="22"/>
        </w:rPr>
        <w:t xml:space="preserve"> </w:t>
      </w:r>
      <w:r w:rsidR="00CB0B31" w:rsidRPr="00777B58">
        <w:rPr>
          <w:rFonts w:ascii="Arial" w:hAnsi="Arial" w:cs="Arial"/>
          <w:sz w:val="22"/>
          <w:szCs w:val="22"/>
        </w:rPr>
        <w:t xml:space="preserve">y </w:t>
      </w:r>
      <w:r w:rsidR="006E4040" w:rsidRPr="006E4040">
        <w:rPr>
          <w:rFonts w:ascii="Arial" w:hAnsi="Arial" w:cs="Arial"/>
          <w:sz w:val="22"/>
          <w:szCs w:val="22"/>
        </w:rPr>
        <w:t>57.192.579</w:t>
      </w:r>
      <w:r w:rsidR="006E4040">
        <w:rPr>
          <w:rFonts w:ascii="Arial" w:hAnsi="Arial" w:cs="Arial"/>
          <w:sz w:val="22"/>
          <w:szCs w:val="22"/>
        </w:rPr>
        <w:t xml:space="preserve"> </w:t>
      </w:r>
      <w:r w:rsidR="00CB0B31">
        <w:rPr>
          <w:rFonts w:ascii="Arial" w:hAnsi="Arial" w:cs="Arial"/>
          <w:sz w:val="22"/>
          <w:szCs w:val="22"/>
        </w:rPr>
        <w:t>no monetarias</w:t>
      </w:r>
      <w:r w:rsidR="00CB0B31" w:rsidRPr="009873EE">
        <w:rPr>
          <w:rFonts w:ascii="Arial" w:hAnsi="Arial" w:cs="Arial"/>
          <w:sz w:val="22"/>
          <w:szCs w:val="22"/>
        </w:rPr>
        <w:t xml:space="preserve">. </w:t>
      </w:r>
    </w:p>
    <w:p w:rsidR="000312B4" w:rsidRDefault="000312B4" w:rsidP="00770FBA">
      <w:pPr>
        <w:jc w:val="both"/>
        <w:rPr>
          <w:rFonts w:ascii="Arial" w:hAnsi="Arial" w:cs="Arial"/>
          <w:sz w:val="22"/>
          <w:szCs w:val="22"/>
        </w:rPr>
      </w:pPr>
    </w:p>
    <w:p w:rsidR="00AB6A67" w:rsidRDefault="00C666DB" w:rsidP="009F5DC4">
      <w:pPr>
        <w:ind w:left="5953" w:firstLine="419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Montos</w:t>
      </w:r>
      <w:r w:rsidR="000312B4">
        <w:rPr>
          <w:rFonts w:ascii="Arial" w:hAnsi="Arial" w:cs="Arial"/>
          <w:b/>
          <w:sz w:val="16"/>
          <w:szCs w:val="18"/>
        </w:rPr>
        <w:t xml:space="preserve"> en millones de pesos</w:t>
      </w:r>
    </w:p>
    <w:tbl>
      <w:tblPr>
        <w:tblW w:w="8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728"/>
        <w:gridCol w:w="1276"/>
        <w:gridCol w:w="1276"/>
        <w:gridCol w:w="1276"/>
        <w:gridCol w:w="1417"/>
      </w:tblGrid>
      <w:tr w:rsidR="00AB4E94" w:rsidRPr="00AB4E94" w:rsidTr="006E4040">
        <w:trPr>
          <w:trHeight w:val="960"/>
          <w:tblHeader/>
          <w:jc w:val="center"/>
        </w:trPr>
        <w:tc>
          <w:tcPr>
            <w:tcW w:w="461" w:type="dxa"/>
            <w:shd w:val="clear" w:color="auto" w:fill="31849B" w:themeFill="accent5" w:themeFillShade="BF"/>
            <w:vAlign w:val="center"/>
            <w:hideMark/>
          </w:tcPr>
          <w:p w:rsidR="00AB4E94" w:rsidRPr="00AB4E94" w:rsidRDefault="00AB4E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728" w:type="dxa"/>
            <w:shd w:val="clear" w:color="auto" w:fill="31849B" w:themeFill="accent5" w:themeFillShade="BF"/>
            <w:vAlign w:val="center"/>
            <w:hideMark/>
          </w:tcPr>
          <w:p w:rsidR="00AB4E94" w:rsidRPr="00AB4E94" w:rsidRDefault="00AB4E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AB4E94" w:rsidRPr="00AB4E94" w:rsidRDefault="00AB4E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AB4E94" w:rsidRPr="00AB4E94" w:rsidRDefault="00AB4E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AB4E94" w:rsidRPr="00AB4E94" w:rsidRDefault="00AB4E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AB4E94" w:rsidRPr="00AB4E94" w:rsidRDefault="00AB4E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1.710.611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8.352.584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10.063.195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501.147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256.299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16.689.949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16.946.248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236.161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165.684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3.767.542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3.933.226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84.654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88.412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902.553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990.965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142.191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 w:rsidP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 xml:space="preserve">Giros &amp; Finanzas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58.661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46.265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104.926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62.586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52.570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206.781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259.351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4.137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43.064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653.346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696.410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5.965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 w:rsidP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30.800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5.589.664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5.620.464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53.050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25.997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316.011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342.008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39.060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5.501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441.899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447.400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5.489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W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2.314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4.039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52.567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53.813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788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32.977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33.262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 w:rsidP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3.553.661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3.553.670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 w:rsidP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1.274.341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1.274.341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Banco Pichincha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131.615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131.615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Coopcentral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15.216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15.216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 w:rsidP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Falabella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441.258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441.258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87.454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87.454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14.561.409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14.561.409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Coltefinanciera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 w:rsidP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Financial Colombia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9.091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9.091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Coofinep Cooperativa Financiera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21.800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21.800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E9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Cooperativa Financiera de Antioquia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C14109">
        <w:trPr>
          <w:trHeight w:val="283"/>
          <w:jc w:val="center"/>
        </w:trPr>
        <w:tc>
          <w:tcPr>
            <w:tcW w:w="461" w:type="dxa"/>
            <w:shd w:val="clear" w:color="auto" w:fill="auto"/>
            <w:noWrap/>
            <w:vAlign w:val="center"/>
          </w:tcPr>
          <w:p w:rsidR="006E4040" w:rsidRPr="00AB4E94" w:rsidRDefault="006E4040" w:rsidP="00AB4E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E4040" w:rsidRPr="006E4040" w:rsidRDefault="006E40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Confiar Cooperativa Financiera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36.775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36.775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4040" w:rsidRPr="006E4040" w:rsidRDefault="006E40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0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4040" w:rsidRPr="00AB4E94" w:rsidTr="00D9166E">
        <w:trPr>
          <w:trHeight w:val="397"/>
          <w:jc w:val="center"/>
        </w:trPr>
        <w:tc>
          <w:tcPr>
            <w:tcW w:w="3189" w:type="dxa"/>
            <w:gridSpan w:val="2"/>
            <w:shd w:val="clear" w:color="auto" w:fill="31849B" w:themeFill="accent5" w:themeFillShade="BF"/>
            <w:vAlign w:val="center"/>
            <w:hideMark/>
          </w:tcPr>
          <w:p w:rsidR="006E4040" w:rsidRPr="00AB4E94" w:rsidRDefault="006E4040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4E9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E404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2.441.514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E404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57.192.579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6E404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59.634.093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6E4040" w:rsidRPr="006E4040" w:rsidRDefault="006E4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6E404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1.136.605</w:t>
            </w:r>
          </w:p>
        </w:tc>
      </w:tr>
    </w:tbl>
    <w:p w:rsidR="00245BCA" w:rsidRPr="0049151E" w:rsidRDefault="00245BCA" w:rsidP="009F5DC4">
      <w:pPr>
        <w:rPr>
          <w:rFonts w:ascii="Arial" w:hAnsi="Arial" w:cs="Arial"/>
          <w:szCs w:val="18"/>
        </w:rPr>
      </w:pPr>
    </w:p>
    <w:p w:rsidR="009B5772" w:rsidRPr="009E2F86" w:rsidRDefault="009B5772" w:rsidP="00807A88">
      <w:pPr>
        <w:pStyle w:val="Ttulo1"/>
        <w:numPr>
          <w:ilvl w:val="1"/>
          <w:numId w:val="25"/>
        </w:numPr>
        <w:spacing w:before="0" w:after="0"/>
        <w:ind w:left="567" w:hanging="567"/>
        <w:rPr>
          <w:sz w:val="24"/>
          <w:szCs w:val="24"/>
        </w:rPr>
      </w:pPr>
      <w:bookmarkStart w:id="99" w:name="_Toc256582618"/>
      <w:bookmarkStart w:id="100" w:name="_Toc413319462"/>
      <w:bookmarkStart w:id="101" w:name="_Toc413319761"/>
      <w:bookmarkStart w:id="102" w:name="_Toc413320317"/>
      <w:bookmarkStart w:id="103" w:name="_Toc491787013"/>
      <w:r>
        <w:rPr>
          <w:sz w:val="24"/>
          <w:szCs w:val="24"/>
        </w:rPr>
        <w:t>Canal Internet</w:t>
      </w:r>
      <w:bookmarkEnd w:id="99"/>
      <w:bookmarkEnd w:id="100"/>
      <w:bookmarkEnd w:id="101"/>
      <w:bookmarkEnd w:id="102"/>
      <w:bookmarkEnd w:id="103"/>
    </w:p>
    <w:p w:rsidR="009B5772" w:rsidRDefault="009B5772" w:rsidP="00770FBA">
      <w:pPr>
        <w:jc w:val="both"/>
        <w:rPr>
          <w:rFonts w:ascii="Arial" w:hAnsi="Arial" w:cs="Arial"/>
        </w:rPr>
      </w:pPr>
    </w:p>
    <w:p w:rsidR="00382878" w:rsidRDefault="00382878" w:rsidP="00382878">
      <w:pPr>
        <w:jc w:val="both"/>
        <w:rPr>
          <w:rFonts w:ascii="Arial" w:hAnsi="Arial" w:cs="Arial"/>
          <w:sz w:val="22"/>
          <w:szCs w:val="22"/>
        </w:rPr>
      </w:pPr>
      <w:r w:rsidRPr="00382878">
        <w:rPr>
          <w:rFonts w:ascii="Arial" w:hAnsi="Arial" w:cs="Arial"/>
          <w:sz w:val="22"/>
          <w:szCs w:val="22"/>
        </w:rPr>
        <w:t xml:space="preserve">El sistema financiero reportó </w:t>
      </w:r>
      <w:r w:rsidR="00D26AF1" w:rsidRPr="00D26AF1">
        <w:rPr>
          <w:rFonts w:ascii="Arial" w:hAnsi="Arial" w:cs="Arial"/>
          <w:sz w:val="22"/>
          <w:szCs w:val="22"/>
        </w:rPr>
        <w:t>1.225.039.676</w:t>
      </w:r>
      <w:r w:rsidR="00012229">
        <w:rPr>
          <w:rFonts w:ascii="Arial" w:hAnsi="Arial" w:cs="Arial"/>
          <w:sz w:val="22"/>
          <w:szCs w:val="22"/>
        </w:rPr>
        <w:t xml:space="preserve"> </w:t>
      </w:r>
      <w:r w:rsidRPr="00382878">
        <w:rPr>
          <w:rFonts w:ascii="Arial" w:hAnsi="Arial" w:cs="Arial"/>
          <w:sz w:val="22"/>
          <w:szCs w:val="22"/>
        </w:rPr>
        <w:t>operaciones realizadas en el canal Internet;</w:t>
      </w:r>
      <w:r w:rsidR="00A6644D">
        <w:rPr>
          <w:rFonts w:ascii="Arial" w:hAnsi="Arial" w:cs="Arial"/>
          <w:sz w:val="22"/>
          <w:szCs w:val="22"/>
        </w:rPr>
        <w:t xml:space="preserve"> </w:t>
      </w:r>
      <w:r w:rsidR="00D26AF1" w:rsidRPr="00D26AF1">
        <w:rPr>
          <w:rFonts w:ascii="Arial" w:hAnsi="Arial" w:cs="Arial"/>
          <w:sz w:val="22"/>
          <w:szCs w:val="22"/>
        </w:rPr>
        <w:t>190.459.462</w:t>
      </w:r>
      <w:r w:rsidR="00D26AF1">
        <w:rPr>
          <w:rFonts w:ascii="Arial" w:hAnsi="Arial" w:cs="Arial"/>
          <w:sz w:val="22"/>
          <w:szCs w:val="22"/>
        </w:rPr>
        <w:t xml:space="preserve"> </w:t>
      </w:r>
      <w:r w:rsidRPr="00382878">
        <w:rPr>
          <w:rFonts w:ascii="Arial" w:hAnsi="Arial" w:cs="Arial"/>
          <w:sz w:val="22"/>
          <w:szCs w:val="22"/>
        </w:rPr>
        <w:t xml:space="preserve">monetarias </w:t>
      </w:r>
      <w:r>
        <w:rPr>
          <w:rFonts w:ascii="Arial" w:hAnsi="Arial" w:cs="Arial"/>
          <w:sz w:val="22"/>
          <w:szCs w:val="22"/>
        </w:rPr>
        <w:t>por</w:t>
      </w:r>
      <w:r w:rsidRPr="00382878">
        <w:rPr>
          <w:rFonts w:ascii="Arial" w:hAnsi="Arial" w:cs="Arial"/>
          <w:sz w:val="22"/>
          <w:szCs w:val="22"/>
        </w:rPr>
        <w:t xml:space="preserve"> $</w:t>
      </w:r>
      <w:r w:rsidR="00012229">
        <w:rPr>
          <w:rFonts w:ascii="Arial" w:hAnsi="Arial" w:cs="Arial"/>
          <w:sz w:val="22"/>
          <w:szCs w:val="22"/>
        </w:rPr>
        <w:t>1.</w:t>
      </w:r>
      <w:r w:rsidR="00D26AF1">
        <w:rPr>
          <w:rFonts w:ascii="Arial" w:hAnsi="Arial" w:cs="Arial"/>
          <w:sz w:val="22"/>
          <w:szCs w:val="22"/>
        </w:rPr>
        <w:t>240</w:t>
      </w:r>
      <w:r w:rsidRPr="00382878">
        <w:rPr>
          <w:rFonts w:ascii="Arial" w:hAnsi="Arial" w:cs="Arial"/>
          <w:sz w:val="22"/>
          <w:szCs w:val="22"/>
        </w:rPr>
        <w:t xml:space="preserve"> billones</w:t>
      </w:r>
      <w:r w:rsidR="004C419F">
        <w:rPr>
          <w:rFonts w:ascii="Arial" w:hAnsi="Arial" w:cs="Arial"/>
          <w:sz w:val="22"/>
          <w:szCs w:val="22"/>
        </w:rPr>
        <w:t xml:space="preserve"> de pesos</w:t>
      </w:r>
      <w:r w:rsidRPr="00382878">
        <w:rPr>
          <w:rFonts w:ascii="Arial" w:hAnsi="Arial" w:cs="Arial"/>
          <w:sz w:val="22"/>
          <w:szCs w:val="22"/>
        </w:rPr>
        <w:t xml:space="preserve"> y </w:t>
      </w:r>
      <w:r w:rsidR="00D26AF1" w:rsidRPr="00D26AF1">
        <w:rPr>
          <w:rFonts w:ascii="Arial" w:hAnsi="Arial" w:cs="Arial"/>
          <w:sz w:val="22"/>
          <w:szCs w:val="22"/>
        </w:rPr>
        <w:t>1.034.580.214</w:t>
      </w:r>
      <w:r w:rsidR="00D26AF1">
        <w:rPr>
          <w:rFonts w:ascii="Arial" w:hAnsi="Arial" w:cs="Arial"/>
          <w:sz w:val="22"/>
          <w:szCs w:val="22"/>
        </w:rPr>
        <w:t xml:space="preserve"> </w:t>
      </w:r>
      <w:r w:rsidRPr="00382878">
        <w:rPr>
          <w:rFonts w:ascii="Arial" w:hAnsi="Arial" w:cs="Arial"/>
          <w:sz w:val="22"/>
          <w:szCs w:val="22"/>
        </w:rPr>
        <w:t>no monetarias.</w:t>
      </w:r>
      <w:r w:rsidRPr="00382878">
        <w:rPr>
          <w:rFonts w:ascii="Arial" w:hAnsi="Arial" w:cs="Arial"/>
          <w:sz w:val="22"/>
          <w:szCs w:val="22"/>
        </w:rPr>
        <w:tab/>
      </w:r>
    </w:p>
    <w:p w:rsidR="00267AE8" w:rsidRDefault="00267AE8" w:rsidP="00760E8E">
      <w:pPr>
        <w:ind w:left="5664" w:firstLine="708"/>
        <w:rPr>
          <w:rFonts w:ascii="Arial" w:hAnsi="Arial" w:cs="Arial"/>
          <w:b/>
          <w:sz w:val="16"/>
          <w:szCs w:val="22"/>
        </w:rPr>
      </w:pPr>
    </w:p>
    <w:p w:rsidR="00F337D6" w:rsidRPr="00623E35" w:rsidRDefault="00623E35" w:rsidP="00760E8E">
      <w:pPr>
        <w:ind w:left="5664" w:firstLine="708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Montos en millones de pesos</w:t>
      </w:r>
    </w:p>
    <w:tbl>
      <w:tblPr>
        <w:tblW w:w="866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40"/>
        <w:gridCol w:w="1416"/>
        <w:gridCol w:w="1416"/>
        <w:gridCol w:w="1292"/>
        <w:gridCol w:w="1558"/>
      </w:tblGrid>
      <w:tr w:rsidR="00C14109" w:rsidRPr="00486DAA" w:rsidTr="00D9166E">
        <w:trPr>
          <w:trHeight w:val="737"/>
          <w:tblHeader/>
        </w:trPr>
        <w:tc>
          <w:tcPr>
            <w:tcW w:w="441" w:type="dxa"/>
            <w:shd w:val="clear" w:color="auto" w:fill="31849B" w:themeFill="accent5" w:themeFillShade="BF"/>
            <w:vAlign w:val="center"/>
          </w:tcPr>
          <w:p w:rsidR="00C14109" w:rsidRPr="00486DAA" w:rsidRDefault="00C14109" w:rsidP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551" w:type="dxa"/>
            <w:shd w:val="clear" w:color="auto" w:fill="31849B" w:themeFill="accent5" w:themeFillShade="BF"/>
            <w:vAlign w:val="center"/>
            <w:hideMark/>
          </w:tcPr>
          <w:p w:rsidR="00C14109" w:rsidRPr="00486DAA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DA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C14109" w:rsidRPr="00486DAA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DA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C14109" w:rsidRPr="00486DAA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DA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C14109" w:rsidRPr="00486DAA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DA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C14109" w:rsidRPr="00486DAA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6DA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101.507.073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831.990.313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933.497.386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388.801.279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24.636.487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31.863.698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56.500.185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161.260.093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20.367.148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67.409.114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87.776.262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241.956.774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14.030.582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22.087.498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36.118.080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133.402.029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7.772.228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8.013.421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15.785.649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18.406.934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5.818.841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16.680.225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22.499.066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65.761.754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4.926.929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1.599.735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6.526.664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35.196.027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3.261.875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7.742.737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11.004.612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38.642.489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2.321.946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15.567.317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17.889.263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9.160.424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1.716.657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8.688.709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10.405.366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94.569.694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1.650.288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2.959.434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4.609.722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12.328.622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1.052.456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2.081.787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3.134.243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23.117.419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396.782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4.751.691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5.148.473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13.108.885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Confiar Cooperativa Financiera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273.958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173.803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447.761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213.195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272.442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832.240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1.104.682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1.714.191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Falabella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140.734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6.096.373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6.237.107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83.662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Pichincha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108.842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1.359.846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1.468.688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951.356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69.767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1.852.118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1.921.885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25.305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Coopcentral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41.326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40.980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82.306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315.553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Cotrafa Financiera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37.986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37.986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22.404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Financiera Juriscoop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24.216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106.504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130.720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61.669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Procredit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12.973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142.533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155.506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43.071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Banco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ntander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9.313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64.662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73.975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1.388.191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Cooperativa Financiera de Antioquia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6.345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46.639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52.984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32.669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Coofinep Cooperativa Financiera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16.734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17.847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695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 w:rsidP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 xml:space="preserve">Giros &amp; Finanzas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1.158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Multibank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2.787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Coltefinanciera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24.552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24.552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2.382.623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2.382.623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3EBA" w:rsidRPr="00486DAA" w:rsidTr="00267AE8">
        <w:trPr>
          <w:trHeight w:val="283"/>
        </w:trPr>
        <w:tc>
          <w:tcPr>
            <w:tcW w:w="441" w:type="dxa"/>
            <w:vAlign w:val="center"/>
          </w:tcPr>
          <w:p w:rsidR="00D03EBA" w:rsidRDefault="00D03E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Financiera Dann Regional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E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3EBA" w:rsidRPr="00486DAA" w:rsidTr="00D9166E">
        <w:trPr>
          <w:trHeight w:val="397"/>
        </w:trPr>
        <w:tc>
          <w:tcPr>
            <w:tcW w:w="2992" w:type="dxa"/>
            <w:gridSpan w:val="2"/>
            <w:shd w:val="clear" w:color="auto" w:fill="31849B" w:themeFill="accent5" w:themeFillShade="BF"/>
            <w:vAlign w:val="center"/>
          </w:tcPr>
          <w:p w:rsidR="00D03EBA" w:rsidRPr="00486DAA" w:rsidRDefault="00D03EBA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03EB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190.459.462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03EB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1.034.580.214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D03EBA" w:rsidRPr="00D03EBA" w:rsidRDefault="00D03EB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03EB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1.225.039.676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D03EBA" w:rsidRPr="00D03EBA" w:rsidRDefault="00D26AF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="00D03EBA" w:rsidRPr="00D03EB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1.240.565.545</w:t>
            </w:r>
          </w:p>
        </w:tc>
      </w:tr>
    </w:tbl>
    <w:p w:rsidR="00C0096C" w:rsidRPr="0049151E" w:rsidRDefault="00C0096C" w:rsidP="00770FBA">
      <w:pPr>
        <w:jc w:val="both"/>
        <w:rPr>
          <w:rFonts w:ascii="Arial" w:hAnsi="Arial" w:cs="Arial"/>
          <w:szCs w:val="22"/>
        </w:rPr>
      </w:pPr>
    </w:p>
    <w:p w:rsidR="00CB0B31" w:rsidRPr="009E2F86" w:rsidRDefault="00CB0B31" w:rsidP="00E83EC1">
      <w:pPr>
        <w:pStyle w:val="Ttulo1"/>
        <w:numPr>
          <w:ilvl w:val="1"/>
          <w:numId w:val="32"/>
        </w:numPr>
        <w:spacing w:before="0" w:after="0"/>
        <w:ind w:left="567" w:hanging="567"/>
        <w:rPr>
          <w:sz w:val="24"/>
          <w:szCs w:val="24"/>
        </w:rPr>
      </w:pPr>
      <w:bookmarkStart w:id="104" w:name="_Toc256582619"/>
      <w:bookmarkStart w:id="105" w:name="_Toc413319463"/>
      <w:bookmarkStart w:id="106" w:name="_Toc413319762"/>
      <w:bookmarkStart w:id="107" w:name="_Toc413320318"/>
      <w:bookmarkStart w:id="108" w:name="_Toc491787014"/>
      <w:r>
        <w:rPr>
          <w:sz w:val="24"/>
          <w:szCs w:val="24"/>
        </w:rPr>
        <w:t>Canal Telefonía Móvil</w:t>
      </w:r>
      <w:bookmarkEnd w:id="104"/>
      <w:bookmarkEnd w:id="105"/>
      <w:bookmarkEnd w:id="106"/>
      <w:bookmarkEnd w:id="107"/>
      <w:bookmarkEnd w:id="108"/>
    </w:p>
    <w:p w:rsidR="00CB0B31" w:rsidRPr="0049151E" w:rsidRDefault="00CB0B31" w:rsidP="00770FBA">
      <w:pPr>
        <w:jc w:val="both"/>
        <w:rPr>
          <w:rFonts w:ascii="Arial" w:hAnsi="Arial" w:cs="Arial"/>
          <w:sz w:val="22"/>
        </w:rPr>
      </w:pPr>
    </w:p>
    <w:p w:rsidR="00951E94" w:rsidRDefault="009020E9" w:rsidP="009020E9">
      <w:pPr>
        <w:jc w:val="both"/>
        <w:rPr>
          <w:rFonts w:ascii="Arial" w:hAnsi="Arial" w:cs="Arial"/>
          <w:sz w:val="22"/>
          <w:szCs w:val="22"/>
        </w:rPr>
      </w:pPr>
      <w:r w:rsidRPr="009020E9">
        <w:rPr>
          <w:rFonts w:ascii="Arial" w:hAnsi="Arial" w:cs="Arial"/>
          <w:sz w:val="22"/>
          <w:szCs w:val="22"/>
        </w:rPr>
        <w:t xml:space="preserve">El sistema financiero reportó </w:t>
      </w:r>
      <w:r w:rsidR="00D73250" w:rsidRPr="00D73250">
        <w:rPr>
          <w:rFonts w:ascii="Arial" w:hAnsi="Arial" w:cs="Arial"/>
          <w:sz w:val="22"/>
          <w:szCs w:val="22"/>
        </w:rPr>
        <w:t>142.170.992</w:t>
      </w:r>
      <w:r w:rsidR="0049461E">
        <w:rPr>
          <w:rFonts w:ascii="Arial" w:hAnsi="Arial" w:cs="Arial"/>
          <w:sz w:val="22"/>
          <w:szCs w:val="22"/>
        </w:rPr>
        <w:t xml:space="preserve"> </w:t>
      </w:r>
      <w:r w:rsidRPr="009020E9">
        <w:rPr>
          <w:rFonts w:ascii="Arial" w:hAnsi="Arial" w:cs="Arial"/>
          <w:sz w:val="22"/>
          <w:szCs w:val="22"/>
        </w:rPr>
        <w:t>operaciones realizadas en el canal Telefonía Móvil;</w:t>
      </w:r>
      <w:r>
        <w:rPr>
          <w:rFonts w:ascii="Arial" w:hAnsi="Arial" w:cs="Arial"/>
          <w:sz w:val="22"/>
          <w:szCs w:val="22"/>
        </w:rPr>
        <w:t xml:space="preserve"> </w:t>
      </w:r>
      <w:r w:rsidR="00D73250" w:rsidRPr="00D73250">
        <w:rPr>
          <w:rFonts w:ascii="Arial" w:hAnsi="Arial" w:cs="Arial"/>
          <w:sz w:val="22"/>
          <w:szCs w:val="22"/>
        </w:rPr>
        <w:t>20.697.027</w:t>
      </w:r>
      <w:r w:rsidR="00D73250">
        <w:rPr>
          <w:rFonts w:ascii="Arial" w:hAnsi="Arial" w:cs="Arial"/>
          <w:sz w:val="22"/>
          <w:szCs w:val="22"/>
        </w:rPr>
        <w:t xml:space="preserve"> </w:t>
      </w:r>
      <w:r w:rsidRPr="009020E9">
        <w:rPr>
          <w:rFonts w:ascii="Arial" w:hAnsi="Arial" w:cs="Arial"/>
          <w:sz w:val="22"/>
          <w:szCs w:val="22"/>
        </w:rPr>
        <w:t>operaciones monetarias por $</w:t>
      </w:r>
      <w:r w:rsidR="00D73250">
        <w:rPr>
          <w:rFonts w:ascii="Arial" w:hAnsi="Arial" w:cs="Arial"/>
          <w:sz w:val="22"/>
          <w:szCs w:val="22"/>
        </w:rPr>
        <w:t>4,8 b</w:t>
      </w:r>
      <w:r w:rsidRPr="009020E9">
        <w:rPr>
          <w:rFonts w:ascii="Arial" w:hAnsi="Arial" w:cs="Arial"/>
          <w:sz w:val="22"/>
          <w:szCs w:val="22"/>
        </w:rPr>
        <w:t>illones</w:t>
      </w:r>
      <w:r w:rsidR="009303C0">
        <w:rPr>
          <w:rFonts w:ascii="Arial" w:hAnsi="Arial" w:cs="Arial"/>
          <w:sz w:val="22"/>
          <w:szCs w:val="22"/>
        </w:rPr>
        <w:t xml:space="preserve"> de pesos</w:t>
      </w:r>
      <w:r w:rsidRPr="009020E9">
        <w:rPr>
          <w:rFonts w:ascii="Arial" w:hAnsi="Arial" w:cs="Arial"/>
          <w:sz w:val="22"/>
          <w:szCs w:val="22"/>
        </w:rPr>
        <w:t xml:space="preserve"> y </w:t>
      </w:r>
      <w:r w:rsidR="00D73250" w:rsidRPr="00D73250">
        <w:rPr>
          <w:rFonts w:ascii="Arial" w:hAnsi="Arial" w:cs="Arial"/>
          <w:sz w:val="22"/>
          <w:szCs w:val="22"/>
        </w:rPr>
        <w:t>121.473.965</w:t>
      </w:r>
      <w:r w:rsidR="0049461E">
        <w:rPr>
          <w:rFonts w:ascii="Arial" w:hAnsi="Arial" w:cs="Arial"/>
          <w:sz w:val="22"/>
          <w:szCs w:val="22"/>
        </w:rPr>
        <w:t xml:space="preserve"> </w:t>
      </w:r>
      <w:r w:rsidRPr="009020E9">
        <w:rPr>
          <w:rFonts w:ascii="Arial" w:hAnsi="Arial" w:cs="Arial"/>
          <w:sz w:val="22"/>
          <w:szCs w:val="22"/>
        </w:rPr>
        <w:t>no monetarias.</w:t>
      </w:r>
      <w:r w:rsidRPr="009020E9">
        <w:rPr>
          <w:rFonts w:ascii="Arial" w:hAnsi="Arial" w:cs="Arial"/>
          <w:sz w:val="22"/>
          <w:szCs w:val="22"/>
        </w:rPr>
        <w:tab/>
      </w:r>
    </w:p>
    <w:p w:rsidR="0049151E" w:rsidRDefault="0049151E">
      <w:pPr>
        <w:rPr>
          <w:rFonts w:ascii="Arial" w:hAnsi="Arial" w:cs="Arial"/>
          <w:szCs w:val="22"/>
        </w:rPr>
      </w:pPr>
    </w:p>
    <w:p w:rsidR="007D64E2" w:rsidRDefault="007D64E2">
      <w:pPr>
        <w:rPr>
          <w:rFonts w:ascii="Arial" w:hAnsi="Arial" w:cs="Arial"/>
          <w:szCs w:val="22"/>
        </w:rPr>
      </w:pPr>
    </w:p>
    <w:p w:rsidR="007D64E2" w:rsidRDefault="007D64E2">
      <w:pPr>
        <w:rPr>
          <w:rFonts w:ascii="Arial" w:hAnsi="Arial" w:cs="Arial"/>
          <w:szCs w:val="22"/>
        </w:rPr>
      </w:pPr>
    </w:p>
    <w:p w:rsidR="007D64E2" w:rsidRDefault="007D64E2">
      <w:pPr>
        <w:rPr>
          <w:rFonts w:ascii="Arial" w:hAnsi="Arial" w:cs="Arial"/>
          <w:szCs w:val="22"/>
        </w:rPr>
      </w:pPr>
    </w:p>
    <w:p w:rsidR="007D64E2" w:rsidRDefault="007D64E2" w:rsidP="00C0096C">
      <w:pPr>
        <w:ind w:left="5664" w:firstLine="708"/>
        <w:jc w:val="center"/>
        <w:rPr>
          <w:rFonts w:ascii="Arial" w:hAnsi="Arial" w:cs="Arial"/>
          <w:b/>
          <w:sz w:val="16"/>
          <w:szCs w:val="22"/>
        </w:rPr>
      </w:pPr>
    </w:p>
    <w:p w:rsidR="000E1F50" w:rsidRPr="000E1F50" w:rsidRDefault="000E1F50" w:rsidP="00C0096C">
      <w:pPr>
        <w:ind w:left="5664" w:firstLine="708"/>
        <w:jc w:val="center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Montos en millones de pesos</w:t>
      </w:r>
    </w:p>
    <w:tbl>
      <w:tblPr>
        <w:tblW w:w="85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291"/>
        <w:gridCol w:w="1275"/>
        <w:gridCol w:w="1560"/>
        <w:gridCol w:w="1559"/>
        <w:gridCol w:w="1437"/>
      </w:tblGrid>
      <w:tr w:rsidR="00C14109" w:rsidRPr="00FE0D98" w:rsidTr="00D9166E">
        <w:trPr>
          <w:trHeight w:val="283"/>
          <w:tblHeader/>
          <w:jc w:val="center"/>
        </w:trPr>
        <w:tc>
          <w:tcPr>
            <w:tcW w:w="473" w:type="dxa"/>
            <w:shd w:val="clear" w:color="auto" w:fill="31849B" w:themeFill="accent5" w:themeFillShade="BF"/>
            <w:vAlign w:val="center"/>
          </w:tcPr>
          <w:p w:rsidR="00C14109" w:rsidRPr="00FE0D98" w:rsidRDefault="00C14109" w:rsidP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291" w:type="dxa"/>
            <w:shd w:val="clear" w:color="auto" w:fill="31849B" w:themeFill="accent5" w:themeFillShade="BF"/>
            <w:vAlign w:val="center"/>
            <w:hideMark/>
          </w:tcPr>
          <w:p w:rsidR="00C14109" w:rsidRPr="00FE0D98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E0D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275" w:type="dxa"/>
            <w:shd w:val="clear" w:color="auto" w:fill="31849B" w:themeFill="accent5" w:themeFillShade="BF"/>
            <w:vAlign w:val="center"/>
            <w:hideMark/>
          </w:tcPr>
          <w:p w:rsidR="00C14109" w:rsidRPr="00FE0D98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E0D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C14109" w:rsidRPr="00FE0D98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E0D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C14109" w:rsidRPr="00FE0D98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E0D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437" w:type="dxa"/>
            <w:shd w:val="clear" w:color="auto" w:fill="31849B" w:themeFill="accent5" w:themeFillShade="BF"/>
            <w:vAlign w:val="center"/>
            <w:hideMark/>
          </w:tcPr>
          <w:p w:rsidR="00C14109" w:rsidRPr="00FE0D98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E0D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11.165.202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32.076.588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43.241.790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2.430.691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4.286.063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11.991.353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16.277.416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75.357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2.890.910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33.597.991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36.488.901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1.260.456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1.359.659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27.517.303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28.876.962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824.603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5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722.682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11.018.756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11.741.438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81.503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111.261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2.305.076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2.416.337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90.100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 w:rsidP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36.930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446.655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483.585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33.612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33.612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5.409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27.599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1.226.915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1.254.514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16.343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24.905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878.350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903.255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24.448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 w:rsidP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 Falabella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19.118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414.910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434.028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8.369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26AF1" w:rsidRPr="00D26AF1" w:rsidRDefault="00D26AF1" w:rsidP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18.808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18.808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Pr="00FF304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Bancamía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D26AF1" w:rsidRPr="00FE0D98" w:rsidTr="00E02F8B">
        <w:trPr>
          <w:trHeight w:val="283"/>
          <w:jc w:val="center"/>
        </w:trPr>
        <w:tc>
          <w:tcPr>
            <w:tcW w:w="473" w:type="dxa"/>
            <w:vAlign w:val="center"/>
          </w:tcPr>
          <w:p w:rsidR="00D26AF1" w:rsidRDefault="00D26AF1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26AF1" w:rsidRPr="00D26AF1" w:rsidRDefault="00D2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Bancompartir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26AF1" w:rsidRPr="00D26AF1" w:rsidRDefault="00D26A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A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26AF1" w:rsidRPr="00FE0D98" w:rsidTr="00D9166E">
        <w:trPr>
          <w:trHeight w:val="340"/>
          <w:jc w:val="center"/>
        </w:trPr>
        <w:tc>
          <w:tcPr>
            <w:tcW w:w="2764" w:type="dxa"/>
            <w:gridSpan w:val="2"/>
            <w:shd w:val="clear" w:color="auto" w:fill="31849B" w:themeFill="accent5" w:themeFillShade="BF"/>
            <w:vAlign w:val="center"/>
          </w:tcPr>
          <w:p w:rsidR="00D26AF1" w:rsidRPr="00FE0D98" w:rsidRDefault="00D26AF1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E0D9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275" w:type="dxa"/>
            <w:shd w:val="clear" w:color="auto" w:fill="31849B" w:themeFill="accent5" w:themeFillShade="BF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26AF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20.697.027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26AF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121.473.965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26AF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142.170.992</w:t>
            </w:r>
          </w:p>
        </w:tc>
        <w:tc>
          <w:tcPr>
            <w:tcW w:w="1437" w:type="dxa"/>
            <w:shd w:val="clear" w:color="auto" w:fill="31849B" w:themeFill="accent5" w:themeFillShade="BF"/>
            <w:vAlign w:val="center"/>
            <w:hideMark/>
          </w:tcPr>
          <w:p w:rsidR="00D26AF1" w:rsidRPr="00D26AF1" w:rsidRDefault="00D26AF1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D26AF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4.818.178</w:t>
            </w:r>
          </w:p>
        </w:tc>
      </w:tr>
    </w:tbl>
    <w:p w:rsidR="00D7490C" w:rsidRPr="0049151E" w:rsidRDefault="00D7490C" w:rsidP="00D7490C">
      <w:pPr>
        <w:pStyle w:val="Ttulo1"/>
        <w:spacing w:before="0" w:after="0"/>
        <w:rPr>
          <w:b w:val="0"/>
          <w:sz w:val="24"/>
          <w:szCs w:val="24"/>
        </w:rPr>
      </w:pPr>
      <w:bookmarkStart w:id="109" w:name="_Toc256582620"/>
      <w:bookmarkStart w:id="110" w:name="_Toc413319464"/>
      <w:bookmarkStart w:id="111" w:name="_Toc413319763"/>
      <w:bookmarkStart w:id="112" w:name="_Toc413320319"/>
    </w:p>
    <w:p w:rsidR="00CB0B31" w:rsidRPr="009E2F86" w:rsidRDefault="00CB0B31" w:rsidP="00E83EC1">
      <w:pPr>
        <w:pStyle w:val="Ttulo1"/>
        <w:numPr>
          <w:ilvl w:val="1"/>
          <w:numId w:val="33"/>
        </w:numPr>
        <w:spacing w:before="0" w:after="0"/>
        <w:ind w:left="567" w:hanging="567"/>
        <w:rPr>
          <w:sz w:val="24"/>
          <w:szCs w:val="24"/>
        </w:rPr>
      </w:pPr>
      <w:bookmarkStart w:id="113" w:name="_Toc491787015"/>
      <w:r>
        <w:rPr>
          <w:sz w:val="24"/>
          <w:szCs w:val="24"/>
        </w:rPr>
        <w:t>Canal ACH</w:t>
      </w:r>
      <w:bookmarkEnd w:id="109"/>
      <w:bookmarkEnd w:id="110"/>
      <w:bookmarkEnd w:id="111"/>
      <w:bookmarkEnd w:id="112"/>
      <w:bookmarkEnd w:id="113"/>
    </w:p>
    <w:p w:rsidR="00CB0B31" w:rsidRDefault="00CB0B31" w:rsidP="00770FBA">
      <w:pPr>
        <w:jc w:val="both"/>
        <w:rPr>
          <w:rFonts w:ascii="Arial" w:hAnsi="Arial" w:cs="Arial"/>
        </w:rPr>
      </w:pPr>
    </w:p>
    <w:p w:rsidR="005A680F" w:rsidRDefault="003D1D20" w:rsidP="003D1D20">
      <w:pPr>
        <w:jc w:val="both"/>
        <w:rPr>
          <w:rFonts w:ascii="Arial" w:hAnsi="Arial" w:cs="Arial"/>
          <w:b/>
          <w:sz w:val="16"/>
          <w:szCs w:val="16"/>
        </w:rPr>
      </w:pPr>
      <w:r w:rsidRPr="003D1D20">
        <w:rPr>
          <w:rFonts w:ascii="Arial" w:hAnsi="Arial" w:cs="Arial"/>
          <w:sz w:val="22"/>
          <w:szCs w:val="22"/>
        </w:rPr>
        <w:t xml:space="preserve">El sistema financiero reportó </w:t>
      </w:r>
      <w:r w:rsidR="00F860EF" w:rsidRPr="00F860EF">
        <w:rPr>
          <w:rFonts w:ascii="Arial" w:hAnsi="Arial" w:cs="Arial"/>
          <w:sz w:val="22"/>
          <w:szCs w:val="22"/>
        </w:rPr>
        <w:t>57.340.222</w:t>
      </w:r>
      <w:r w:rsidR="003C1C3B">
        <w:rPr>
          <w:rFonts w:ascii="Arial" w:hAnsi="Arial" w:cs="Arial"/>
          <w:sz w:val="22"/>
          <w:szCs w:val="22"/>
        </w:rPr>
        <w:t xml:space="preserve"> </w:t>
      </w:r>
      <w:r w:rsidRPr="003D1D20">
        <w:rPr>
          <w:rFonts w:ascii="Arial" w:hAnsi="Arial" w:cs="Arial"/>
          <w:sz w:val="22"/>
          <w:szCs w:val="22"/>
        </w:rPr>
        <w:t>operaciones monetarias realizadas en el canal ACH</w:t>
      </w:r>
      <w:r>
        <w:rPr>
          <w:rFonts w:ascii="Arial" w:hAnsi="Arial" w:cs="Arial"/>
          <w:sz w:val="22"/>
          <w:szCs w:val="22"/>
        </w:rPr>
        <w:t xml:space="preserve"> </w:t>
      </w:r>
      <w:r w:rsidRPr="003D1D20">
        <w:rPr>
          <w:rFonts w:ascii="Arial" w:hAnsi="Arial" w:cs="Arial"/>
          <w:sz w:val="22"/>
          <w:szCs w:val="22"/>
        </w:rPr>
        <w:t>por $</w:t>
      </w:r>
      <w:r w:rsidR="00F860EF">
        <w:rPr>
          <w:rFonts w:ascii="Arial" w:hAnsi="Arial" w:cs="Arial"/>
          <w:sz w:val="22"/>
          <w:szCs w:val="22"/>
        </w:rPr>
        <w:t>520</w:t>
      </w:r>
      <w:r w:rsidR="009A7CEC">
        <w:rPr>
          <w:rFonts w:ascii="Arial" w:hAnsi="Arial" w:cs="Arial"/>
          <w:sz w:val="22"/>
          <w:szCs w:val="22"/>
        </w:rPr>
        <w:t>,</w:t>
      </w:r>
      <w:r w:rsidR="00F860EF">
        <w:rPr>
          <w:rFonts w:ascii="Arial" w:hAnsi="Arial" w:cs="Arial"/>
          <w:sz w:val="22"/>
          <w:szCs w:val="22"/>
        </w:rPr>
        <w:t>4</w:t>
      </w:r>
      <w:r w:rsidRPr="003D1D20">
        <w:rPr>
          <w:rFonts w:ascii="Arial" w:hAnsi="Arial" w:cs="Arial"/>
          <w:sz w:val="22"/>
          <w:szCs w:val="22"/>
        </w:rPr>
        <w:t xml:space="preserve"> billones</w:t>
      </w:r>
      <w:r>
        <w:rPr>
          <w:rFonts w:ascii="Arial" w:hAnsi="Arial" w:cs="Arial"/>
          <w:sz w:val="22"/>
          <w:szCs w:val="22"/>
        </w:rPr>
        <w:t xml:space="preserve"> de pesos</w:t>
      </w:r>
      <w:r w:rsidRPr="003D1D20">
        <w:rPr>
          <w:rFonts w:ascii="Arial" w:hAnsi="Arial" w:cs="Arial"/>
          <w:sz w:val="22"/>
          <w:szCs w:val="22"/>
        </w:rPr>
        <w:t>.</w:t>
      </w:r>
      <w:r w:rsidRPr="003D1D20">
        <w:rPr>
          <w:rFonts w:ascii="Arial" w:hAnsi="Arial" w:cs="Arial"/>
          <w:sz w:val="22"/>
          <w:szCs w:val="22"/>
        </w:rPr>
        <w:tab/>
      </w:r>
    </w:p>
    <w:p w:rsidR="00CB0B31" w:rsidRPr="0049151E" w:rsidRDefault="00CB0B31" w:rsidP="00770FBA">
      <w:pPr>
        <w:jc w:val="both"/>
        <w:rPr>
          <w:rFonts w:ascii="Arial" w:hAnsi="Arial" w:cs="Arial"/>
          <w:szCs w:val="22"/>
        </w:rPr>
      </w:pPr>
    </w:p>
    <w:p w:rsidR="00782C79" w:rsidRPr="00782C79" w:rsidRDefault="00782C79" w:rsidP="00770FBA">
      <w:pPr>
        <w:jc w:val="both"/>
        <w:rPr>
          <w:rFonts w:ascii="Arial" w:hAnsi="Arial" w:cs="Arial"/>
          <w:b/>
          <w:color w:val="000000" w:themeColor="text1"/>
          <w:sz w:val="16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782C79">
        <w:rPr>
          <w:rFonts w:ascii="Arial" w:hAnsi="Arial" w:cs="Arial"/>
          <w:b/>
          <w:color w:val="000000" w:themeColor="text1"/>
          <w:sz w:val="16"/>
          <w:szCs w:val="22"/>
        </w:rPr>
        <w:t>Montos en millones de pesos</w:t>
      </w:r>
    </w:p>
    <w:tbl>
      <w:tblPr>
        <w:tblW w:w="54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164"/>
        <w:gridCol w:w="1417"/>
        <w:gridCol w:w="1378"/>
      </w:tblGrid>
      <w:tr w:rsidR="00C14109" w:rsidRPr="005C587B" w:rsidTr="00D9166E">
        <w:trPr>
          <w:trHeight w:val="340"/>
          <w:tblHeader/>
          <w:jc w:val="center"/>
        </w:trPr>
        <w:tc>
          <w:tcPr>
            <w:tcW w:w="491" w:type="dxa"/>
            <w:shd w:val="clear" w:color="auto" w:fill="31849B" w:themeFill="accent5" w:themeFillShade="BF"/>
            <w:vAlign w:val="center"/>
          </w:tcPr>
          <w:p w:rsidR="00C14109" w:rsidRPr="005C587B" w:rsidRDefault="00C14109" w:rsidP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164" w:type="dxa"/>
            <w:shd w:val="clear" w:color="auto" w:fill="31849B" w:themeFill="accent5" w:themeFillShade="BF"/>
            <w:vAlign w:val="center"/>
            <w:hideMark/>
          </w:tcPr>
          <w:p w:rsidR="00C14109" w:rsidRPr="005C587B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8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C14109" w:rsidRPr="005C587B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8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378" w:type="dxa"/>
            <w:shd w:val="clear" w:color="auto" w:fill="31849B" w:themeFill="accent5" w:themeFillShade="BF"/>
            <w:vAlign w:val="center"/>
            <w:hideMark/>
          </w:tcPr>
          <w:p w:rsidR="00C14109" w:rsidRPr="005C587B" w:rsidRDefault="00C1410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8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5.253.374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103.618.489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7.670.501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75.618.361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10.121.898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70.322.205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4.386.878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58.468.005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4.624.742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54.322.828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12.408.585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46.362.755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2.937.215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30.838.104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3.488.020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25.268.334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963.255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17.186.456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2.121.008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12.871.313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694.600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9.467.053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1.410.220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6.854.502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216.138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3.648.898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Pichincha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229.326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2.645.981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ntander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10.425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1.193.247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16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Coopcentral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115.758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517.783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17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Confiar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64.419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334.370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18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 Falabella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81.488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278.630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203.212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197.608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20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291.831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123.693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Coltefinanciera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4.405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59.928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22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Cotrafa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5.841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58.668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23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Procredit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16.883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49.850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Pr="00FC12EC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Multibank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3.891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36.773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860EF" w:rsidRPr="00F860EF" w:rsidRDefault="00F860EF" w:rsidP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Financiera Juriscoop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13.646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35.897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26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Cooperativa Financiera de Antioquia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34.565</w:t>
            </w:r>
          </w:p>
        </w:tc>
      </w:tr>
      <w:tr w:rsidR="00F860EF" w:rsidRPr="005C587B" w:rsidTr="00F003E1">
        <w:trPr>
          <w:trHeight w:val="340"/>
          <w:jc w:val="center"/>
        </w:trPr>
        <w:tc>
          <w:tcPr>
            <w:tcW w:w="491" w:type="dxa"/>
            <w:vAlign w:val="center"/>
          </w:tcPr>
          <w:p w:rsidR="00F860EF" w:rsidRDefault="00F860EF" w:rsidP="00C1410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27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860EF" w:rsidRPr="00F860EF" w:rsidRDefault="00F86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Bancompartir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860EF" w:rsidRPr="00F860EF" w:rsidRDefault="00F860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0EF">
              <w:rPr>
                <w:rFonts w:ascii="Arial" w:hAnsi="Arial" w:cs="Arial"/>
                <w:color w:val="000000"/>
                <w:sz w:val="18"/>
                <w:szCs w:val="18"/>
              </w:rPr>
              <w:t>2.977</w:t>
            </w:r>
          </w:p>
        </w:tc>
      </w:tr>
      <w:tr w:rsidR="00F860EF" w:rsidRPr="005C587B" w:rsidTr="00D9166E">
        <w:trPr>
          <w:trHeight w:val="340"/>
          <w:jc w:val="center"/>
        </w:trPr>
        <w:tc>
          <w:tcPr>
            <w:tcW w:w="2655" w:type="dxa"/>
            <w:gridSpan w:val="2"/>
            <w:shd w:val="clear" w:color="auto" w:fill="31849B" w:themeFill="accent5" w:themeFillShade="BF"/>
            <w:vAlign w:val="center"/>
          </w:tcPr>
          <w:p w:rsidR="00F860EF" w:rsidRPr="005C587B" w:rsidRDefault="00F860EF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8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F860EF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57.340.222</w:t>
            </w:r>
          </w:p>
        </w:tc>
        <w:tc>
          <w:tcPr>
            <w:tcW w:w="1378" w:type="dxa"/>
            <w:shd w:val="clear" w:color="auto" w:fill="31849B" w:themeFill="accent5" w:themeFillShade="BF"/>
            <w:vAlign w:val="center"/>
            <w:hideMark/>
          </w:tcPr>
          <w:p w:rsidR="00F860EF" w:rsidRPr="00F860EF" w:rsidRDefault="00F860E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F860EF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520.417.273</w:t>
            </w:r>
          </w:p>
        </w:tc>
      </w:tr>
    </w:tbl>
    <w:p w:rsidR="00F56CA1" w:rsidRPr="0049151E" w:rsidRDefault="00F56CA1" w:rsidP="00F56CA1">
      <w:pPr>
        <w:pStyle w:val="Ttulo1"/>
        <w:spacing w:before="0" w:after="0"/>
        <w:ind w:left="426"/>
        <w:rPr>
          <w:b w:val="0"/>
          <w:sz w:val="24"/>
          <w:szCs w:val="24"/>
        </w:rPr>
      </w:pPr>
      <w:bookmarkStart w:id="114" w:name="_Toc256582621"/>
      <w:bookmarkStart w:id="115" w:name="_Toc413319465"/>
      <w:bookmarkStart w:id="116" w:name="_Toc413319764"/>
      <w:bookmarkStart w:id="117" w:name="_Toc413320320"/>
    </w:p>
    <w:p w:rsidR="00CB0B31" w:rsidRDefault="00CB0B31" w:rsidP="00E83EC1">
      <w:pPr>
        <w:pStyle w:val="Ttulo1"/>
        <w:numPr>
          <w:ilvl w:val="1"/>
          <w:numId w:val="34"/>
        </w:numPr>
        <w:spacing w:before="0" w:after="0"/>
        <w:ind w:left="567" w:hanging="567"/>
        <w:rPr>
          <w:sz w:val="24"/>
          <w:szCs w:val="24"/>
        </w:rPr>
      </w:pPr>
      <w:bookmarkStart w:id="118" w:name="_Toc491787016"/>
      <w:r>
        <w:rPr>
          <w:sz w:val="24"/>
          <w:szCs w:val="24"/>
        </w:rPr>
        <w:t>Canal Débito Automático</w:t>
      </w:r>
      <w:bookmarkEnd w:id="114"/>
      <w:bookmarkEnd w:id="115"/>
      <w:bookmarkEnd w:id="116"/>
      <w:bookmarkEnd w:id="117"/>
      <w:bookmarkEnd w:id="118"/>
    </w:p>
    <w:p w:rsidR="00CB0B31" w:rsidRPr="0049151E" w:rsidRDefault="00CB0B31" w:rsidP="00770FBA">
      <w:pPr>
        <w:jc w:val="both"/>
        <w:rPr>
          <w:rFonts w:ascii="Arial" w:hAnsi="Arial" w:cs="Arial"/>
          <w:szCs w:val="20"/>
        </w:rPr>
      </w:pPr>
    </w:p>
    <w:p w:rsidR="00460B4F" w:rsidRDefault="00EC50A0" w:rsidP="00EC50A0">
      <w:pPr>
        <w:jc w:val="both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El</w:t>
      </w:r>
      <w:r w:rsidR="00495003">
        <w:rPr>
          <w:rFonts w:ascii="Arial" w:hAnsi="Arial" w:cs="Arial"/>
          <w:sz w:val="22"/>
          <w:szCs w:val="22"/>
        </w:rPr>
        <w:t xml:space="preserve"> sistema financiero reportó </w:t>
      </w:r>
      <w:r w:rsidR="00041C1B" w:rsidRPr="00041C1B">
        <w:rPr>
          <w:rFonts w:ascii="Arial" w:hAnsi="Arial" w:cs="Arial"/>
          <w:sz w:val="22"/>
          <w:szCs w:val="22"/>
        </w:rPr>
        <w:t>53.016.796</w:t>
      </w:r>
      <w:r w:rsidRPr="00EC50A0">
        <w:rPr>
          <w:rFonts w:ascii="Arial" w:hAnsi="Arial" w:cs="Arial"/>
          <w:sz w:val="22"/>
          <w:szCs w:val="22"/>
        </w:rPr>
        <w:t xml:space="preserve"> operaciones monetarias realizadas en el canal Débito Automático</w:t>
      </w:r>
      <w:r>
        <w:rPr>
          <w:rFonts w:ascii="Arial" w:hAnsi="Arial" w:cs="Arial"/>
          <w:sz w:val="22"/>
          <w:szCs w:val="22"/>
        </w:rPr>
        <w:t xml:space="preserve"> por</w:t>
      </w:r>
      <w:r w:rsidRPr="00EC50A0">
        <w:rPr>
          <w:rFonts w:ascii="Arial" w:hAnsi="Arial" w:cs="Arial"/>
          <w:sz w:val="22"/>
          <w:szCs w:val="22"/>
        </w:rPr>
        <w:t xml:space="preserve"> $2</w:t>
      </w:r>
      <w:r w:rsidR="00041C1B">
        <w:rPr>
          <w:rFonts w:ascii="Arial" w:hAnsi="Arial" w:cs="Arial"/>
          <w:sz w:val="22"/>
          <w:szCs w:val="22"/>
        </w:rPr>
        <w:t>7,4</w:t>
      </w:r>
      <w:r w:rsidR="00495003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>billones</w:t>
      </w:r>
      <w:r>
        <w:rPr>
          <w:rFonts w:ascii="Arial" w:hAnsi="Arial" w:cs="Arial"/>
          <w:sz w:val="22"/>
          <w:szCs w:val="22"/>
        </w:rPr>
        <w:t xml:space="preserve"> de pesos</w:t>
      </w:r>
      <w:r w:rsidRPr="00EC50A0">
        <w:rPr>
          <w:rFonts w:ascii="Arial" w:hAnsi="Arial" w:cs="Arial"/>
          <w:sz w:val="22"/>
          <w:szCs w:val="22"/>
        </w:rPr>
        <w:t>.</w:t>
      </w:r>
      <w:r w:rsidRPr="00EC50A0">
        <w:rPr>
          <w:rFonts w:ascii="Arial" w:hAnsi="Arial" w:cs="Arial"/>
          <w:sz w:val="22"/>
          <w:szCs w:val="22"/>
        </w:rPr>
        <w:tab/>
      </w:r>
    </w:p>
    <w:p w:rsidR="00907E6A" w:rsidRPr="00AB71D0" w:rsidRDefault="00907E6A" w:rsidP="00770FBA">
      <w:pPr>
        <w:jc w:val="both"/>
        <w:rPr>
          <w:rFonts w:ascii="Arial" w:hAnsi="Arial" w:cs="Arial"/>
        </w:rPr>
      </w:pPr>
    </w:p>
    <w:p w:rsidR="008D10D4" w:rsidRPr="00460B4F" w:rsidRDefault="00460B4F" w:rsidP="002116CA">
      <w:pPr>
        <w:ind w:left="4956" w:firstLine="708"/>
        <w:jc w:val="both"/>
        <w:rPr>
          <w:rFonts w:ascii="Arial" w:hAnsi="Arial" w:cs="Arial"/>
          <w:b/>
          <w:color w:val="000000" w:themeColor="text1"/>
          <w:sz w:val="16"/>
        </w:rPr>
      </w:pPr>
      <w:r w:rsidRPr="00460B4F">
        <w:rPr>
          <w:rFonts w:ascii="Arial" w:hAnsi="Arial" w:cs="Arial"/>
          <w:b/>
          <w:color w:val="000000" w:themeColor="text1"/>
          <w:sz w:val="16"/>
        </w:rPr>
        <w:t>Montos en millones de pesos</w:t>
      </w:r>
    </w:p>
    <w:tbl>
      <w:tblPr>
        <w:tblW w:w="68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450"/>
        <w:gridCol w:w="1231"/>
        <w:gridCol w:w="1650"/>
      </w:tblGrid>
      <w:tr w:rsidR="002116CA" w:rsidRPr="00460B4F" w:rsidTr="00D9166E">
        <w:trPr>
          <w:trHeight w:val="283"/>
          <w:tblHeader/>
          <w:jc w:val="center"/>
        </w:trPr>
        <w:tc>
          <w:tcPr>
            <w:tcW w:w="514" w:type="dxa"/>
            <w:shd w:val="clear" w:color="auto" w:fill="31849B" w:themeFill="accent5" w:themeFillShade="BF"/>
            <w:vAlign w:val="center"/>
          </w:tcPr>
          <w:p w:rsidR="00915375" w:rsidRPr="00460B4F" w:rsidRDefault="00915375" w:rsidP="0091537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3450" w:type="dxa"/>
            <w:shd w:val="clear" w:color="auto" w:fill="31849B" w:themeFill="accent5" w:themeFillShade="BF"/>
            <w:vAlign w:val="center"/>
            <w:hideMark/>
          </w:tcPr>
          <w:p w:rsidR="00915375" w:rsidRPr="00460B4F" w:rsidRDefault="0091537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60B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231" w:type="dxa"/>
            <w:shd w:val="clear" w:color="auto" w:fill="31849B" w:themeFill="accent5" w:themeFillShade="BF"/>
            <w:vAlign w:val="center"/>
            <w:hideMark/>
          </w:tcPr>
          <w:p w:rsidR="00915375" w:rsidRPr="00460B4F" w:rsidRDefault="0091537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60B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650" w:type="dxa"/>
            <w:shd w:val="clear" w:color="auto" w:fill="31849B" w:themeFill="accent5" w:themeFillShade="BF"/>
            <w:vAlign w:val="center"/>
            <w:hideMark/>
          </w:tcPr>
          <w:p w:rsidR="00915375" w:rsidRPr="00460B4F" w:rsidRDefault="0091537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60B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24.858.224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13.396.412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8.658.572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3.585.741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3.010.397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3.087.818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10.847.430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3.071.979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1.191.075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1.168.215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492.844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792.185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1.018.219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581.893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1.087.021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313.161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Cooperativa Financiera de Antioquia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11.699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273.711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231.722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240.056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4928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357.558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233.788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290.033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223.652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FK</w:t>
            </w: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 xml:space="preserve"> Cooperativa Financiera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457.649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141.137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177.269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101.292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27.450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49.842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Procredit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37.113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Pichincha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2.301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36.055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Coopcentral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3.833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26.422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Financial Colombia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27.782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20.029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20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Bancamía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66.281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17.518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49.102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16.030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Bancompartir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16.869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8.208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Cotrafa Financiera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76.663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6.481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Mundo Mujer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24.939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3.431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W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7.082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2.311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Pr="00941A26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5E4820" w:rsidRPr="005E4820" w:rsidRDefault="005E4820" w:rsidP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Banco Falabella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4.756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1.928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Confiar Cooperativa Financiera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15.798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</w:p>
        </w:tc>
      </w:tr>
      <w:tr w:rsidR="005E4820" w:rsidRPr="00460B4F" w:rsidTr="002116CA">
        <w:trPr>
          <w:trHeight w:val="283"/>
          <w:jc w:val="center"/>
        </w:trPr>
        <w:tc>
          <w:tcPr>
            <w:tcW w:w="514" w:type="dxa"/>
            <w:vAlign w:val="center"/>
          </w:tcPr>
          <w:p w:rsidR="005E4820" w:rsidRDefault="005E4820" w:rsidP="0091537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5E4820" w:rsidRPr="005E4820" w:rsidRDefault="005E48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E4820" w:rsidRPr="005E4820" w:rsidRDefault="005E48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820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</w:tr>
      <w:tr w:rsidR="005E4820" w:rsidRPr="00460B4F" w:rsidTr="00D9166E">
        <w:trPr>
          <w:trHeight w:val="397"/>
          <w:jc w:val="center"/>
        </w:trPr>
        <w:tc>
          <w:tcPr>
            <w:tcW w:w="3964" w:type="dxa"/>
            <w:gridSpan w:val="2"/>
            <w:shd w:val="clear" w:color="auto" w:fill="31849B" w:themeFill="accent5" w:themeFillShade="BF"/>
            <w:vAlign w:val="center"/>
          </w:tcPr>
          <w:p w:rsidR="005E4820" w:rsidRPr="00460B4F" w:rsidRDefault="005E4820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60B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otal</w:t>
            </w:r>
          </w:p>
        </w:tc>
        <w:tc>
          <w:tcPr>
            <w:tcW w:w="1231" w:type="dxa"/>
            <w:shd w:val="clear" w:color="auto" w:fill="31849B" w:themeFill="accent5" w:themeFillShade="BF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5E482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53.016.796</w:t>
            </w:r>
          </w:p>
        </w:tc>
        <w:tc>
          <w:tcPr>
            <w:tcW w:w="1650" w:type="dxa"/>
            <w:shd w:val="clear" w:color="auto" w:fill="31849B" w:themeFill="accent5" w:themeFillShade="BF"/>
            <w:vAlign w:val="center"/>
            <w:hideMark/>
          </w:tcPr>
          <w:p w:rsidR="005E4820" w:rsidRPr="005E4820" w:rsidRDefault="005E482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5E482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27.437.633</w:t>
            </w:r>
          </w:p>
        </w:tc>
      </w:tr>
    </w:tbl>
    <w:p w:rsidR="00BF208F" w:rsidRDefault="00BF208F" w:rsidP="00770FBA">
      <w:pPr>
        <w:jc w:val="both"/>
        <w:rPr>
          <w:rFonts w:ascii="Arial" w:hAnsi="Arial" w:cs="Arial"/>
        </w:rPr>
      </w:pPr>
    </w:p>
    <w:p w:rsidR="00967C27" w:rsidRDefault="00CB0B31" w:rsidP="00AF0A88">
      <w:pPr>
        <w:pStyle w:val="Ttulo1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bookmarkStart w:id="119" w:name="_Toc413319466"/>
      <w:bookmarkStart w:id="120" w:name="_Toc413319765"/>
      <w:bookmarkStart w:id="121" w:name="_Toc413320321"/>
      <w:bookmarkStart w:id="122" w:name="_Toc491787017"/>
      <w:r>
        <w:rPr>
          <w:sz w:val="24"/>
          <w:szCs w:val="24"/>
        </w:rPr>
        <w:t xml:space="preserve">Resumen </w:t>
      </w:r>
      <w:r w:rsidR="00A23E3B">
        <w:rPr>
          <w:sz w:val="24"/>
          <w:szCs w:val="24"/>
        </w:rPr>
        <w:t>por Tipo de Entidad</w:t>
      </w:r>
      <w:bookmarkEnd w:id="119"/>
      <w:bookmarkEnd w:id="120"/>
      <w:bookmarkEnd w:id="121"/>
      <w:bookmarkEnd w:id="122"/>
    </w:p>
    <w:p w:rsidR="008D10D4" w:rsidRPr="0049151E" w:rsidRDefault="008D10D4" w:rsidP="00121D5A">
      <w:pPr>
        <w:jc w:val="both"/>
        <w:rPr>
          <w:rFonts w:ascii="Arial" w:hAnsi="Arial" w:cs="Arial"/>
          <w:szCs w:val="22"/>
        </w:rPr>
      </w:pPr>
    </w:p>
    <w:p w:rsidR="00CB0B31" w:rsidRPr="00E10CA7" w:rsidRDefault="00CB0B31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 w:rsidRPr="00E10CA7">
        <w:rPr>
          <w:rFonts w:ascii="Arial" w:hAnsi="Arial" w:cs="Arial"/>
          <w:b/>
          <w:sz w:val="16"/>
          <w:szCs w:val="16"/>
        </w:rPr>
        <w:t>Cifras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417"/>
        <w:gridCol w:w="1560"/>
        <w:gridCol w:w="1559"/>
      </w:tblGrid>
      <w:tr w:rsidR="00BF208F" w:rsidRPr="00176FCD" w:rsidTr="00D9166E">
        <w:trPr>
          <w:trHeight w:val="227"/>
          <w:tblHeader/>
        </w:trPr>
        <w:tc>
          <w:tcPr>
            <w:tcW w:w="2709" w:type="dxa"/>
            <w:shd w:val="clear" w:color="auto" w:fill="31849B" w:themeFill="accent5" w:themeFillShade="BF"/>
            <w:vAlign w:val="center"/>
            <w:hideMark/>
          </w:tcPr>
          <w:p w:rsidR="00176FCD" w:rsidRPr="00176FCD" w:rsidRDefault="00176FCD" w:rsidP="00176F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76FC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Tipo de Entidad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176FCD" w:rsidRPr="00176FCD" w:rsidRDefault="00176F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76FC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Número de Operaciones Monetarias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176FCD" w:rsidRPr="00176FCD" w:rsidRDefault="00176F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76FC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Número de Operaciones no Monetarias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176FCD" w:rsidRPr="00176FCD" w:rsidRDefault="00176F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76FC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176FCD" w:rsidRPr="00176FCD" w:rsidRDefault="00176FC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76FC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 xml:space="preserve">Monto de Operaciones </w:t>
            </w:r>
          </w:p>
        </w:tc>
      </w:tr>
      <w:tr w:rsidR="000E1BCE" w:rsidRPr="00176FCD" w:rsidTr="00C75F6C">
        <w:trPr>
          <w:trHeight w:val="340"/>
        </w:trPr>
        <w:tc>
          <w:tcPr>
            <w:tcW w:w="2709" w:type="dxa"/>
            <w:shd w:val="clear" w:color="auto" w:fill="auto"/>
            <w:vAlign w:val="center"/>
            <w:hideMark/>
          </w:tcPr>
          <w:p w:rsidR="000E1BCE" w:rsidRPr="00176FCD" w:rsidRDefault="000E1BCE" w:rsidP="00176FC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76FCD">
              <w:rPr>
                <w:rFonts w:ascii="Arial" w:hAnsi="Arial" w:cs="Arial"/>
                <w:color w:val="000000"/>
                <w:sz w:val="18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stablecimientos Bancarios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1.387.622.411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1.274.408.076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2.662.030.487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3.509.404.032</w:t>
            </w:r>
          </w:p>
        </w:tc>
      </w:tr>
      <w:tr w:rsidR="000E1BCE" w:rsidRPr="00176FCD" w:rsidTr="00C75F6C">
        <w:trPr>
          <w:trHeight w:val="340"/>
        </w:trPr>
        <w:tc>
          <w:tcPr>
            <w:tcW w:w="2709" w:type="dxa"/>
            <w:shd w:val="clear" w:color="auto" w:fill="auto"/>
            <w:vAlign w:val="center"/>
            <w:hideMark/>
          </w:tcPr>
          <w:p w:rsidR="000E1BCE" w:rsidRPr="00176FCD" w:rsidRDefault="000E1BCE" w:rsidP="00176FC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Compañías de Financiamiento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31.889.309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21.604.252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53.493.561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13.862.773</w:t>
            </w:r>
          </w:p>
        </w:tc>
      </w:tr>
      <w:tr w:rsidR="000E1BCE" w:rsidRPr="00176FCD" w:rsidTr="00C75F6C">
        <w:trPr>
          <w:trHeight w:val="340"/>
        </w:trPr>
        <w:tc>
          <w:tcPr>
            <w:tcW w:w="2709" w:type="dxa"/>
            <w:shd w:val="clear" w:color="auto" w:fill="auto"/>
            <w:vAlign w:val="center"/>
            <w:hideMark/>
          </w:tcPr>
          <w:p w:rsidR="000E1BCE" w:rsidRPr="00176FCD" w:rsidRDefault="000E1BCE" w:rsidP="00176FC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76FCD">
              <w:rPr>
                <w:rFonts w:ascii="Arial" w:hAnsi="Arial" w:cs="Arial"/>
                <w:color w:val="000000"/>
                <w:sz w:val="18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ooperativas Financieras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6.630.141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594.979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7.225.120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E1BCE">
              <w:rPr>
                <w:rFonts w:ascii="Arial" w:hAnsi="Arial" w:cs="Arial"/>
                <w:color w:val="000000"/>
                <w:sz w:val="18"/>
                <w:szCs w:val="22"/>
              </w:rPr>
              <w:t>5.461.252</w:t>
            </w:r>
          </w:p>
        </w:tc>
      </w:tr>
      <w:tr w:rsidR="000E1BCE" w:rsidRPr="00176FCD" w:rsidTr="00D9166E">
        <w:trPr>
          <w:trHeight w:val="373"/>
        </w:trPr>
        <w:tc>
          <w:tcPr>
            <w:tcW w:w="2709" w:type="dxa"/>
            <w:shd w:val="clear" w:color="auto" w:fill="31849B" w:themeFill="accent5" w:themeFillShade="BF"/>
            <w:vAlign w:val="center"/>
            <w:hideMark/>
          </w:tcPr>
          <w:p w:rsidR="000E1BCE" w:rsidRPr="00176FCD" w:rsidRDefault="000E1BCE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76FC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0E1BCE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1.426.141.861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0E1BCE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1.296.607.307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0E1BCE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2.722.749.168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0E1BCE" w:rsidRPr="000E1BCE" w:rsidRDefault="000E1BCE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0E1BCE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3.528.728.057</w:t>
            </w:r>
          </w:p>
        </w:tc>
      </w:tr>
    </w:tbl>
    <w:p w:rsidR="00906B86" w:rsidRDefault="00906B86" w:rsidP="00770FBA">
      <w:pPr>
        <w:jc w:val="both"/>
        <w:rPr>
          <w:rFonts w:ascii="Arial" w:hAnsi="Arial" w:cs="Arial"/>
        </w:rPr>
      </w:pPr>
    </w:p>
    <w:p w:rsidR="00A245C7" w:rsidRPr="003C291D" w:rsidRDefault="00A245C7" w:rsidP="00E83EC1">
      <w:pPr>
        <w:pStyle w:val="Ttulo1"/>
        <w:numPr>
          <w:ilvl w:val="1"/>
          <w:numId w:val="6"/>
        </w:numPr>
        <w:spacing w:before="0" w:after="0"/>
        <w:ind w:left="567" w:hanging="567"/>
        <w:rPr>
          <w:sz w:val="24"/>
          <w:szCs w:val="24"/>
        </w:rPr>
      </w:pPr>
      <w:bookmarkStart w:id="123" w:name="_Toc207594851"/>
      <w:bookmarkStart w:id="124" w:name="_Toc208614962"/>
      <w:bookmarkStart w:id="125" w:name="_Toc208620253"/>
      <w:bookmarkStart w:id="126" w:name="_Toc208936073"/>
      <w:bookmarkStart w:id="127" w:name="_Toc208936247"/>
      <w:bookmarkStart w:id="128" w:name="_Toc208936339"/>
      <w:bookmarkStart w:id="129" w:name="_Toc208936383"/>
      <w:bookmarkStart w:id="130" w:name="_Toc209150991"/>
      <w:bookmarkStart w:id="131" w:name="_Toc210206813"/>
      <w:bookmarkStart w:id="132" w:name="_Toc256582622"/>
      <w:bookmarkStart w:id="133" w:name="_Toc413319467"/>
      <w:bookmarkStart w:id="134" w:name="_Toc413319766"/>
      <w:bookmarkStart w:id="135" w:name="_Toc413320322"/>
      <w:bookmarkStart w:id="136" w:name="_Toc491787018"/>
      <w:r>
        <w:rPr>
          <w:sz w:val="24"/>
          <w:szCs w:val="24"/>
        </w:rPr>
        <w:t>Establecimientos Bancarios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A245C7" w:rsidRDefault="00A245C7" w:rsidP="00770FBA">
      <w:pPr>
        <w:jc w:val="both"/>
        <w:rPr>
          <w:rFonts w:ascii="Arial" w:hAnsi="Arial" w:cs="Arial"/>
        </w:rPr>
      </w:pPr>
    </w:p>
    <w:p w:rsidR="00CB0B31" w:rsidRPr="00515CF6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515CF6">
        <w:rPr>
          <w:rFonts w:ascii="Arial" w:hAnsi="Arial" w:cs="Arial"/>
          <w:sz w:val="22"/>
          <w:szCs w:val="22"/>
        </w:rPr>
        <w:t xml:space="preserve">Los establecimientos bancarios realizaron </w:t>
      </w:r>
      <w:r w:rsidR="00411F18">
        <w:rPr>
          <w:rFonts w:ascii="Arial" w:hAnsi="Arial" w:cs="Arial"/>
          <w:sz w:val="22"/>
          <w:szCs w:val="22"/>
        </w:rPr>
        <w:t>2.662.030.487</w:t>
      </w:r>
      <w:r w:rsidRPr="00515CF6">
        <w:rPr>
          <w:rFonts w:ascii="Arial" w:hAnsi="Arial" w:cs="Arial"/>
          <w:sz w:val="22"/>
          <w:szCs w:val="22"/>
        </w:rPr>
        <w:t xml:space="preserve"> operaciones; </w:t>
      </w:r>
      <w:r w:rsidR="00110596" w:rsidRPr="00110596">
        <w:rPr>
          <w:rFonts w:ascii="Arial" w:hAnsi="Arial" w:cs="Arial"/>
          <w:sz w:val="22"/>
          <w:szCs w:val="22"/>
        </w:rPr>
        <w:t>1.</w:t>
      </w:r>
      <w:r w:rsidR="00411F18">
        <w:rPr>
          <w:rFonts w:ascii="Arial" w:hAnsi="Arial" w:cs="Arial"/>
          <w:sz w:val="22"/>
          <w:szCs w:val="22"/>
        </w:rPr>
        <w:t>387</w:t>
      </w:r>
      <w:r w:rsidR="00110596" w:rsidRPr="00110596">
        <w:rPr>
          <w:rFonts w:ascii="Arial" w:hAnsi="Arial" w:cs="Arial"/>
          <w:sz w:val="22"/>
          <w:szCs w:val="22"/>
        </w:rPr>
        <w:t>.</w:t>
      </w:r>
      <w:r w:rsidR="00411F18">
        <w:rPr>
          <w:rFonts w:ascii="Arial" w:hAnsi="Arial" w:cs="Arial"/>
          <w:sz w:val="22"/>
          <w:szCs w:val="22"/>
        </w:rPr>
        <w:t>622</w:t>
      </w:r>
      <w:r w:rsidR="00110596" w:rsidRPr="00110596">
        <w:rPr>
          <w:rFonts w:ascii="Arial" w:hAnsi="Arial" w:cs="Arial"/>
          <w:sz w:val="22"/>
          <w:szCs w:val="22"/>
        </w:rPr>
        <w:t>.</w:t>
      </w:r>
      <w:r w:rsidR="00411F18">
        <w:rPr>
          <w:rFonts w:ascii="Arial" w:hAnsi="Arial" w:cs="Arial"/>
          <w:sz w:val="22"/>
          <w:szCs w:val="22"/>
        </w:rPr>
        <w:t>411</w:t>
      </w:r>
      <w:r w:rsidR="00110596">
        <w:rPr>
          <w:rFonts w:ascii="Arial" w:hAnsi="Arial" w:cs="Arial"/>
          <w:sz w:val="22"/>
          <w:szCs w:val="22"/>
        </w:rPr>
        <w:t xml:space="preserve"> </w:t>
      </w:r>
      <w:r w:rsidR="00A81ACE">
        <w:rPr>
          <w:rFonts w:ascii="Arial" w:hAnsi="Arial" w:cs="Arial"/>
          <w:sz w:val="22"/>
          <w:szCs w:val="22"/>
        </w:rPr>
        <w:t>monetarias por</w:t>
      </w:r>
      <w:r w:rsidR="005C77C9">
        <w:rPr>
          <w:rFonts w:ascii="Arial" w:hAnsi="Arial" w:cs="Arial"/>
          <w:sz w:val="22"/>
          <w:szCs w:val="22"/>
        </w:rPr>
        <w:t xml:space="preserve"> </w:t>
      </w:r>
      <w:r w:rsidR="00A81ACE">
        <w:rPr>
          <w:rFonts w:ascii="Arial" w:hAnsi="Arial" w:cs="Arial"/>
          <w:sz w:val="22"/>
          <w:szCs w:val="22"/>
        </w:rPr>
        <w:t>$</w:t>
      </w:r>
      <w:r w:rsidR="005C77C9">
        <w:rPr>
          <w:rFonts w:ascii="Arial" w:hAnsi="Arial" w:cs="Arial"/>
          <w:sz w:val="22"/>
          <w:szCs w:val="22"/>
        </w:rPr>
        <w:t>3</w:t>
      </w:r>
      <w:r w:rsidR="006F0FBE" w:rsidRPr="00515CF6">
        <w:rPr>
          <w:rFonts w:ascii="Arial" w:hAnsi="Arial" w:cs="Arial"/>
          <w:sz w:val="22"/>
          <w:szCs w:val="22"/>
        </w:rPr>
        <w:t>.</w:t>
      </w:r>
      <w:r w:rsidR="00411F18">
        <w:rPr>
          <w:rFonts w:ascii="Arial" w:hAnsi="Arial" w:cs="Arial"/>
          <w:sz w:val="22"/>
          <w:szCs w:val="22"/>
        </w:rPr>
        <w:t>509</w:t>
      </w:r>
      <w:r w:rsidR="00F40848">
        <w:rPr>
          <w:rFonts w:ascii="Arial" w:hAnsi="Arial" w:cs="Arial"/>
          <w:sz w:val="22"/>
          <w:szCs w:val="22"/>
        </w:rPr>
        <w:t>,</w:t>
      </w:r>
      <w:r w:rsidR="00411F18">
        <w:rPr>
          <w:rFonts w:ascii="Arial" w:hAnsi="Arial" w:cs="Arial"/>
          <w:sz w:val="22"/>
          <w:szCs w:val="22"/>
        </w:rPr>
        <w:t>4</w:t>
      </w:r>
      <w:r w:rsidRPr="00515CF6">
        <w:rPr>
          <w:rFonts w:ascii="Arial" w:hAnsi="Arial" w:cs="Arial"/>
          <w:sz w:val="22"/>
          <w:szCs w:val="22"/>
        </w:rPr>
        <w:t xml:space="preserve"> billones</w:t>
      </w:r>
      <w:r w:rsidR="005C77C9">
        <w:rPr>
          <w:rFonts w:ascii="Arial" w:hAnsi="Arial" w:cs="Arial"/>
          <w:sz w:val="22"/>
          <w:szCs w:val="22"/>
        </w:rPr>
        <w:t xml:space="preserve"> de pesos</w:t>
      </w:r>
      <w:r w:rsidRPr="00515CF6">
        <w:rPr>
          <w:rFonts w:ascii="Arial" w:hAnsi="Arial" w:cs="Arial"/>
          <w:sz w:val="22"/>
          <w:szCs w:val="22"/>
        </w:rPr>
        <w:t xml:space="preserve"> y </w:t>
      </w:r>
      <w:r w:rsidR="00411F18">
        <w:rPr>
          <w:rFonts w:ascii="Arial" w:hAnsi="Arial" w:cs="Arial"/>
          <w:sz w:val="22"/>
          <w:szCs w:val="22"/>
        </w:rPr>
        <w:t>1.274.408.076</w:t>
      </w:r>
      <w:r w:rsidR="004F50F8">
        <w:rPr>
          <w:rFonts w:ascii="Arial" w:hAnsi="Arial" w:cs="Arial"/>
          <w:sz w:val="22"/>
          <w:szCs w:val="22"/>
        </w:rPr>
        <w:t xml:space="preserve"> </w:t>
      </w:r>
      <w:r w:rsidRPr="00515CF6">
        <w:rPr>
          <w:rFonts w:ascii="Arial" w:hAnsi="Arial" w:cs="Arial"/>
          <w:sz w:val="22"/>
          <w:szCs w:val="22"/>
        </w:rPr>
        <w:t>no monetarias.</w:t>
      </w:r>
    </w:p>
    <w:p w:rsidR="00CB0B31" w:rsidRDefault="00CB0B31" w:rsidP="00770FBA">
      <w:pPr>
        <w:jc w:val="both"/>
        <w:rPr>
          <w:rFonts w:ascii="Arial" w:hAnsi="Arial" w:cs="Arial"/>
          <w:sz w:val="22"/>
          <w:szCs w:val="22"/>
        </w:rPr>
      </w:pPr>
    </w:p>
    <w:p w:rsidR="00CB0B31" w:rsidRDefault="0092209C" w:rsidP="00770F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cajeros automáticos fue</w:t>
      </w:r>
      <w:r w:rsidR="00CB0B31" w:rsidRPr="007943E6">
        <w:rPr>
          <w:rFonts w:ascii="Arial" w:hAnsi="Arial" w:cs="Arial"/>
          <w:sz w:val="22"/>
          <w:szCs w:val="22"/>
        </w:rPr>
        <w:t xml:space="preserve"> el canal </w:t>
      </w:r>
      <w:r w:rsidR="00CB0B31">
        <w:rPr>
          <w:rFonts w:ascii="Arial" w:hAnsi="Arial" w:cs="Arial"/>
          <w:sz w:val="22"/>
          <w:szCs w:val="22"/>
        </w:rPr>
        <w:t xml:space="preserve">más </w:t>
      </w:r>
      <w:r>
        <w:rPr>
          <w:rFonts w:ascii="Arial" w:hAnsi="Arial" w:cs="Arial"/>
          <w:sz w:val="22"/>
          <w:szCs w:val="22"/>
        </w:rPr>
        <w:t>utilizado</w:t>
      </w:r>
      <w:r w:rsidR="00CB0B31">
        <w:rPr>
          <w:rFonts w:ascii="Arial" w:hAnsi="Arial" w:cs="Arial"/>
          <w:sz w:val="22"/>
          <w:szCs w:val="22"/>
        </w:rPr>
        <w:t xml:space="preserve"> para</w:t>
      </w:r>
      <w:r w:rsidR="00BF7D3D">
        <w:rPr>
          <w:rFonts w:ascii="Arial" w:hAnsi="Arial" w:cs="Arial"/>
          <w:sz w:val="22"/>
          <w:szCs w:val="22"/>
        </w:rPr>
        <w:t xml:space="preserve"> hacer</w:t>
      </w:r>
      <w:r w:rsidR="00CB0B31">
        <w:rPr>
          <w:rFonts w:ascii="Arial" w:hAnsi="Arial" w:cs="Arial"/>
          <w:sz w:val="22"/>
          <w:szCs w:val="22"/>
        </w:rPr>
        <w:t xml:space="preserve"> operaciones monetarias</w:t>
      </w:r>
      <w:r w:rsidR="00BF7D3D">
        <w:rPr>
          <w:rFonts w:ascii="Arial" w:hAnsi="Arial" w:cs="Arial"/>
          <w:sz w:val="22"/>
          <w:szCs w:val="22"/>
        </w:rPr>
        <w:t xml:space="preserve">, se realizaron </w:t>
      </w:r>
      <w:r w:rsidR="0051473B">
        <w:rPr>
          <w:rFonts w:ascii="Arial" w:hAnsi="Arial" w:cs="Arial"/>
          <w:sz w:val="22"/>
          <w:szCs w:val="22"/>
        </w:rPr>
        <w:t xml:space="preserve"> </w:t>
      </w:r>
      <w:r w:rsidR="00411F18" w:rsidRPr="00411F18">
        <w:rPr>
          <w:rFonts w:ascii="Arial" w:hAnsi="Arial" w:cs="Arial"/>
          <w:sz w:val="22"/>
          <w:szCs w:val="22"/>
        </w:rPr>
        <w:t>332.654.654</w:t>
      </w:r>
      <w:r>
        <w:rPr>
          <w:rFonts w:ascii="Arial" w:hAnsi="Arial" w:cs="Arial"/>
          <w:sz w:val="22"/>
          <w:szCs w:val="22"/>
        </w:rPr>
        <w:t xml:space="preserve"> </w:t>
      </w:r>
      <w:r w:rsidR="00CB0B31" w:rsidRPr="007943E6">
        <w:rPr>
          <w:rFonts w:ascii="Arial" w:hAnsi="Arial" w:cs="Arial"/>
          <w:sz w:val="22"/>
          <w:szCs w:val="22"/>
        </w:rPr>
        <w:t>por</w:t>
      </w:r>
      <w:r w:rsidR="00CB0B31">
        <w:rPr>
          <w:rFonts w:ascii="Arial" w:hAnsi="Arial" w:cs="Arial"/>
          <w:sz w:val="22"/>
          <w:szCs w:val="22"/>
        </w:rPr>
        <w:t xml:space="preserve"> </w:t>
      </w:r>
      <w:r w:rsidR="00CB0B31" w:rsidRPr="007943E6">
        <w:rPr>
          <w:rFonts w:ascii="Arial" w:hAnsi="Arial" w:cs="Arial"/>
          <w:sz w:val="22"/>
          <w:szCs w:val="22"/>
        </w:rPr>
        <w:t>$</w:t>
      </w:r>
      <w:r w:rsidR="00411F18">
        <w:rPr>
          <w:rFonts w:ascii="Arial" w:hAnsi="Arial" w:cs="Arial"/>
          <w:sz w:val="22"/>
          <w:szCs w:val="22"/>
        </w:rPr>
        <w:t>110</w:t>
      </w:r>
      <w:r w:rsidR="00BF7D3D">
        <w:rPr>
          <w:rFonts w:ascii="Arial" w:hAnsi="Arial" w:cs="Arial"/>
          <w:sz w:val="22"/>
          <w:szCs w:val="22"/>
        </w:rPr>
        <w:t xml:space="preserve"> b</w:t>
      </w:r>
      <w:r w:rsidR="00CB0B31" w:rsidRPr="007943E6">
        <w:rPr>
          <w:rFonts w:ascii="Arial" w:hAnsi="Arial" w:cs="Arial"/>
          <w:sz w:val="22"/>
          <w:szCs w:val="22"/>
        </w:rPr>
        <w:t>illones</w:t>
      </w:r>
      <w:r w:rsidR="005C77C9">
        <w:rPr>
          <w:rFonts w:ascii="Arial" w:hAnsi="Arial" w:cs="Arial"/>
          <w:sz w:val="22"/>
          <w:szCs w:val="22"/>
        </w:rPr>
        <w:t xml:space="preserve"> de pesos</w:t>
      </w:r>
      <w:r w:rsidR="00BF7D3D">
        <w:rPr>
          <w:rFonts w:ascii="Arial" w:hAnsi="Arial" w:cs="Arial"/>
          <w:sz w:val="22"/>
          <w:szCs w:val="22"/>
        </w:rPr>
        <w:t>, seguido de las</w:t>
      </w:r>
      <w:r w:rsidR="00CB0B31" w:rsidRPr="007943E6">
        <w:rPr>
          <w:rFonts w:ascii="Arial" w:hAnsi="Arial" w:cs="Arial"/>
          <w:sz w:val="22"/>
          <w:szCs w:val="22"/>
        </w:rPr>
        <w:t xml:space="preserve"> </w:t>
      </w:r>
      <w:r w:rsidR="00BF7D3D">
        <w:rPr>
          <w:rFonts w:ascii="Arial" w:hAnsi="Arial" w:cs="Arial"/>
          <w:sz w:val="22"/>
          <w:szCs w:val="22"/>
        </w:rPr>
        <w:t>oficinas</w:t>
      </w:r>
      <w:r w:rsidR="00CB0B31" w:rsidRPr="007943E6">
        <w:rPr>
          <w:rFonts w:ascii="Arial" w:hAnsi="Arial" w:cs="Arial"/>
          <w:sz w:val="22"/>
          <w:szCs w:val="22"/>
        </w:rPr>
        <w:t xml:space="preserve"> con </w:t>
      </w:r>
      <w:r w:rsidR="00411F18" w:rsidRPr="00411F18">
        <w:rPr>
          <w:rFonts w:ascii="Arial" w:hAnsi="Arial" w:cs="Arial"/>
          <w:sz w:val="22"/>
          <w:szCs w:val="22"/>
        </w:rPr>
        <w:t>273.332.368</w:t>
      </w:r>
      <w:r w:rsidR="0051473B">
        <w:rPr>
          <w:rFonts w:ascii="Arial" w:hAnsi="Arial" w:cs="Arial"/>
          <w:sz w:val="22"/>
          <w:szCs w:val="22"/>
        </w:rPr>
        <w:t xml:space="preserve"> </w:t>
      </w:r>
      <w:r w:rsidR="00CB0B31" w:rsidRPr="007943E6">
        <w:rPr>
          <w:rFonts w:ascii="Arial" w:hAnsi="Arial" w:cs="Arial"/>
          <w:sz w:val="22"/>
          <w:szCs w:val="22"/>
        </w:rPr>
        <w:t xml:space="preserve"> por</w:t>
      </w:r>
      <w:r w:rsidR="00CB0B31">
        <w:rPr>
          <w:rFonts w:ascii="Arial" w:hAnsi="Arial" w:cs="Arial"/>
          <w:sz w:val="22"/>
          <w:szCs w:val="22"/>
        </w:rPr>
        <w:t xml:space="preserve"> </w:t>
      </w:r>
      <w:r w:rsidR="00CB0B31" w:rsidRPr="007943E6">
        <w:rPr>
          <w:rFonts w:ascii="Arial" w:hAnsi="Arial" w:cs="Arial"/>
          <w:sz w:val="22"/>
          <w:szCs w:val="22"/>
        </w:rPr>
        <w:t>$</w:t>
      </w:r>
      <w:r w:rsidR="00BF7D3D">
        <w:rPr>
          <w:rFonts w:ascii="Arial" w:hAnsi="Arial" w:cs="Arial"/>
          <w:sz w:val="22"/>
          <w:szCs w:val="22"/>
        </w:rPr>
        <w:t>1.5</w:t>
      </w:r>
      <w:r w:rsidR="00411F18">
        <w:rPr>
          <w:rFonts w:ascii="Arial" w:hAnsi="Arial" w:cs="Arial"/>
          <w:sz w:val="22"/>
          <w:szCs w:val="22"/>
        </w:rPr>
        <w:t>35</w:t>
      </w:r>
      <w:r w:rsidR="00515CF6">
        <w:rPr>
          <w:rFonts w:ascii="Arial" w:hAnsi="Arial" w:cs="Arial"/>
          <w:sz w:val="22"/>
          <w:szCs w:val="22"/>
        </w:rPr>
        <w:t>,</w:t>
      </w:r>
      <w:r w:rsidR="00BF7D3D">
        <w:rPr>
          <w:rFonts w:ascii="Arial" w:hAnsi="Arial" w:cs="Arial"/>
          <w:sz w:val="22"/>
          <w:szCs w:val="22"/>
        </w:rPr>
        <w:t>7</w:t>
      </w:r>
      <w:r w:rsidR="00571DF0">
        <w:rPr>
          <w:rFonts w:ascii="Arial" w:hAnsi="Arial" w:cs="Arial"/>
          <w:sz w:val="22"/>
          <w:szCs w:val="22"/>
        </w:rPr>
        <w:t xml:space="preserve"> </w:t>
      </w:r>
      <w:r w:rsidR="00CB0B31" w:rsidRPr="007943E6">
        <w:rPr>
          <w:rFonts w:ascii="Arial" w:hAnsi="Arial" w:cs="Arial"/>
          <w:sz w:val="22"/>
          <w:szCs w:val="22"/>
        </w:rPr>
        <w:t>billones</w:t>
      </w:r>
      <w:r w:rsidR="005C77C9">
        <w:rPr>
          <w:rFonts w:ascii="Arial" w:hAnsi="Arial" w:cs="Arial"/>
          <w:sz w:val="22"/>
          <w:szCs w:val="22"/>
        </w:rPr>
        <w:t xml:space="preserve"> de pesos</w:t>
      </w:r>
      <w:r w:rsidR="00CB0B31" w:rsidRPr="007943E6">
        <w:rPr>
          <w:rFonts w:ascii="Arial" w:hAnsi="Arial" w:cs="Arial"/>
          <w:sz w:val="22"/>
          <w:szCs w:val="22"/>
        </w:rPr>
        <w:t>.</w:t>
      </w:r>
    </w:p>
    <w:p w:rsidR="006F0FBE" w:rsidRDefault="006F0FBE" w:rsidP="00770FBA">
      <w:pPr>
        <w:jc w:val="both"/>
        <w:rPr>
          <w:rFonts w:ascii="Arial" w:hAnsi="Arial" w:cs="Arial"/>
          <w:sz w:val="22"/>
          <w:szCs w:val="22"/>
        </w:rPr>
      </w:pPr>
    </w:p>
    <w:p w:rsidR="00CB0B31" w:rsidRDefault="0051473B" w:rsidP="00770F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Respuesta </w:t>
      </w:r>
      <w:r w:rsidR="00CB0B31" w:rsidRPr="007943E6">
        <w:rPr>
          <w:rFonts w:ascii="Arial" w:hAnsi="Arial" w:cs="Arial"/>
          <w:sz w:val="22"/>
          <w:szCs w:val="22"/>
        </w:rPr>
        <w:t xml:space="preserve">fue el canal </w:t>
      </w:r>
      <w:r w:rsidR="00CB0B31">
        <w:rPr>
          <w:rFonts w:ascii="Arial" w:hAnsi="Arial" w:cs="Arial"/>
          <w:sz w:val="22"/>
          <w:szCs w:val="22"/>
        </w:rPr>
        <w:t xml:space="preserve">menos utilizado para hacer operaciones monetarias, se registraron </w:t>
      </w:r>
      <w:r w:rsidR="00411F18" w:rsidRPr="00411F18">
        <w:rPr>
          <w:rFonts w:ascii="Arial" w:hAnsi="Arial" w:cs="Arial"/>
          <w:sz w:val="22"/>
          <w:szCs w:val="22"/>
        </w:rPr>
        <w:t>2.382.853</w:t>
      </w:r>
      <w:r w:rsidR="00CB0B31" w:rsidRPr="007943E6">
        <w:rPr>
          <w:rFonts w:ascii="Arial" w:hAnsi="Arial" w:cs="Arial"/>
          <w:sz w:val="22"/>
          <w:szCs w:val="22"/>
        </w:rPr>
        <w:t xml:space="preserve"> por $</w:t>
      </w:r>
      <w:r w:rsidR="00411F18">
        <w:rPr>
          <w:rFonts w:ascii="Arial" w:hAnsi="Arial" w:cs="Arial"/>
          <w:sz w:val="22"/>
          <w:szCs w:val="22"/>
        </w:rPr>
        <w:t>1 billón</w:t>
      </w:r>
      <w:r w:rsidR="00362E3D">
        <w:rPr>
          <w:rFonts w:ascii="Arial" w:hAnsi="Arial" w:cs="Arial"/>
          <w:sz w:val="22"/>
          <w:szCs w:val="22"/>
        </w:rPr>
        <w:t xml:space="preserve"> de pesos</w:t>
      </w:r>
      <w:r w:rsidR="00CB0B31" w:rsidRPr="007943E6">
        <w:rPr>
          <w:rFonts w:ascii="Arial" w:hAnsi="Arial" w:cs="Arial"/>
          <w:sz w:val="22"/>
          <w:szCs w:val="22"/>
        </w:rPr>
        <w:t>.</w:t>
      </w:r>
    </w:p>
    <w:p w:rsidR="000A684D" w:rsidRDefault="000A684D" w:rsidP="00770FBA">
      <w:pPr>
        <w:jc w:val="both"/>
        <w:rPr>
          <w:rFonts w:ascii="Arial" w:hAnsi="Arial" w:cs="Arial"/>
          <w:sz w:val="22"/>
          <w:szCs w:val="22"/>
        </w:rPr>
      </w:pPr>
    </w:p>
    <w:p w:rsidR="00141555" w:rsidRDefault="00141555" w:rsidP="00770FBA">
      <w:pPr>
        <w:jc w:val="both"/>
        <w:rPr>
          <w:rFonts w:ascii="Arial" w:hAnsi="Arial" w:cs="Arial"/>
          <w:sz w:val="22"/>
          <w:szCs w:val="22"/>
        </w:rPr>
      </w:pPr>
    </w:p>
    <w:p w:rsidR="00141555" w:rsidRDefault="00141555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</w:p>
    <w:p w:rsidR="00CB0B31" w:rsidRPr="00E10CA7" w:rsidRDefault="00574560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1559"/>
        <w:gridCol w:w="1560"/>
        <w:gridCol w:w="1559"/>
      </w:tblGrid>
      <w:tr w:rsidR="00F308B3" w:rsidRPr="00F308B3" w:rsidTr="00D9166E">
        <w:trPr>
          <w:trHeight w:val="283"/>
          <w:tblHeader/>
        </w:trPr>
        <w:tc>
          <w:tcPr>
            <w:tcW w:w="2425" w:type="dxa"/>
            <w:shd w:val="clear" w:color="auto" w:fill="31849B" w:themeFill="accent5" w:themeFillShade="BF"/>
            <w:vAlign w:val="center"/>
            <w:hideMark/>
          </w:tcPr>
          <w:p w:rsidR="00F308B3" w:rsidRPr="00F308B3" w:rsidRDefault="00F308B3" w:rsidP="00F308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08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F308B3" w:rsidRPr="00F308B3" w:rsidRDefault="00F308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08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F308B3" w:rsidRPr="00F308B3" w:rsidRDefault="00F308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08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F308B3" w:rsidRPr="00F308B3" w:rsidRDefault="00F308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08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F308B3" w:rsidRPr="00F308B3" w:rsidRDefault="00F308B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08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Cajeros Automáticos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332.654.654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45.714.079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378.368.733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110.031.814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Oficinas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273.332.368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23.651.818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296.984.186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1.535.489.566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Datáfonos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238.661.504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11.167.042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249.828.546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38.919.415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Corresponsales Bancarios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220.463.252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220.463.252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32.097.388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Internet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190.045.005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1.029.975.017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1.220.020.022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1.240.208.450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56.958.869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56.958.869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519.770.152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Pagos Automáticos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52.426.879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52.426.879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26.995.050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Telefonía Móvil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20.697.027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121.473.965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142.170.992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4.818.178</w:t>
            </w:r>
          </w:p>
        </w:tc>
      </w:tr>
      <w:tr w:rsidR="00411F18" w:rsidRPr="00F308B3" w:rsidTr="00600722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Audio Respuesta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2.382.853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42.426.155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44.809.008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F18">
              <w:rPr>
                <w:rFonts w:ascii="Arial" w:hAnsi="Arial" w:cs="Arial"/>
                <w:color w:val="000000"/>
                <w:sz w:val="18"/>
                <w:szCs w:val="22"/>
              </w:rPr>
              <w:t>1.074.019</w:t>
            </w:r>
          </w:p>
        </w:tc>
      </w:tr>
      <w:tr w:rsidR="00411F18" w:rsidRPr="00F308B3" w:rsidTr="00D9166E">
        <w:trPr>
          <w:trHeight w:val="397"/>
        </w:trPr>
        <w:tc>
          <w:tcPr>
            <w:tcW w:w="2425" w:type="dxa"/>
            <w:shd w:val="clear" w:color="auto" w:fill="31849B" w:themeFill="accent5" w:themeFillShade="BF"/>
            <w:vAlign w:val="center"/>
            <w:hideMark/>
          </w:tcPr>
          <w:p w:rsidR="00411F18" w:rsidRPr="0092209C" w:rsidRDefault="00411F18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92209C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411F1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1.387.622.411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411F1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1.274.408.076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411F1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2.662.030.487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411F18" w:rsidRPr="00411F18" w:rsidRDefault="00411F1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411F1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3.509.404.032</w:t>
            </w:r>
          </w:p>
        </w:tc>
      </w:tr>
    </w:tbl>
    <w:p w:rsidR="00220FDC" w:rsidRPr="0049151E" w:rsidRDefault="00220FDC" w:rsidP="00770FBA">
      <w:pPr>
        <w:rPr>
          <w:rFonts w:ascii="Arial" w:hAnsi="Arial" w:cs="Arial"/>
        </w:rPr>
      </w:pPr>
    </w:p>
    <w:p w:rsidR="00CB0B31" w:rsidRPr="00BC08BA" w:rsidRDefault="00CB0B31" w:rsidP="00770FBA">
      <w:pPr>
        <w:rPr>
          <w:rFonts w:ascii="Arial" w:hAnsi="Arial" w:cs="Arial"/>
          <w:b/>
        </w:rPr>
      </w:pPr>
      <w:r w:rsidRPr="00BC08BA">
        <w:rPr>
          <w:rFonts w:ascii="Arial" w:hAnsi="Arial" w:cs="Arial"/>
          <w:b/>
        </w:rPr>
        <w:t>Detalle de Operaciones por Entidad</w:t>
      </w:r>
    </w:p>
    <w:p w:rsidR="00856C9E" w:rsidRPr="0049151E" w:rsidRDefault="00856C9E" w:rsidP="0049151E">
      <w:pPr>
        <w:rPr>
          <w:rFonts w:ascii="Arial" w:hAnsi="Arial" w:cs="Arial"/>
          <w:szCs w:val="16"/>
        </w:rPr>
      </w:pPr>
    </w:p>
    <w:p w:rsidR="00CB0B31" w:rsidRPr="00E10CA7" w:rsidRDefault="008800ED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417"/>
        <w:gridCol w:w="1418"/>
        <w:gridCol w:w="1292"/>
        <w:gridCol w:w="1543"/>
      </w:tblGrid>
      <w:tr w:rsidR="00E075BA" w:rsidRPr="008800ED" w:rsidTr="00D9166E">
        <w:trPr>
          <w:trHeight w:val="850"/>
          <w:tblHeader/>
        </w:trPr>
        <w:tc>
          <w:tcPr>
            <w:tcW w:w="582" w:type="dxa"/>
            <w:shd w:val="clear" w:color="auto" w:fill="31849B" w:themeFill="accent5" w:themeFillShade="BF"/>
            <w:vAlign w:val="center"/>
          </w:tcPr>
          <w:p w:rsidR="00E075BA" w:rsidRDefault="00D9166E" w:rsidP="00E075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552" w:type="dxa"/>
            <w:shd w:val="clear" w:color="auto" w:fill="31849B" w:themeFill="accent5" w:themeFillShade="BF"/>
            <w:vAlign w:val="center"/>
            <w:hideMark/>
          </w:tcPr>
          <w:p w:rsidR="00E075BA" w:rsidRPr="008800ED" w:rsidRDefault="00E075BA" w:rsidP="008A6F3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E075BA" w:rsidRPr="008800ED" w:rsidRDefault="00E075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00E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E075BA" w:rsidRPr="008800ED" w:rsidRDefault="00E075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00E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292" w:type="dxa"/>
            <w:shd w:val="clear" w:color="auto" w:fill="31849B" w:themeFill="accent5" w:themeFillShade="BF"/>
            <w:vAlign w:val="center"/>
            <w:hideMark/>
          </w:tcPr>
          <w:p w:rsidR="00E075BA" w:rsidRPr="008800ED" w:rsidRDefault="00E075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00E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43" w:type="dxa"/>
            <w:shd w:val="clear" w:color="auto" w:fill="31849B" w:themeFill="accent5" w:themeFillShade="BF"/>
            <w:vAlign w:val="center"/>
            <w:hideMark/>
          </w:tcPr>
          <w:p w:rsidR="00E075BA" w:rsidRPr="008800ED" w:rsidRDefault="00E075B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00E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Bancolombia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463.402.222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881.906.479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1.345.308.701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945.895.556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Colpatria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174.341.975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13.946.108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188.288.083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76.899.067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Davivienda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174.264.419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75.047.489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249.311.908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496.193.329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de Bogot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133.696.968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99.223.688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232.920.656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727.108.954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BBVA Colombia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115.088.172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58.404.193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173.492.365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286.621.461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</w:t>
            </w: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AV Villas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59.754.758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23.799.175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83.553.933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55.842.967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Caja Social BCS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46.070.226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12.521.789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58.592.015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59.626.658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 A</w:t>
            </w: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grario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43.955.226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23.524.188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67.479.414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50.523.778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Popular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38.570.144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9.480.250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48.050.394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90.250.240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de Occidente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33.478.522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10.774.382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44.252.904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374.260.033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Citibank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33.370.296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33.611.848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66.982.144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132.648.803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Itaú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19.602.429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11.373.826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30.976.255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116.319.228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Falabella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16.691.814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7.304.961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23.996.775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4.478.869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GNB Sudameris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14.738.765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4.854.712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19.593.477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68.167.640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Bancoomeva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5.780.248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1.849.700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7.629.948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7.307.235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Pichincha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4.066.907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2.163.115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6.230.022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7.090.871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Mundo Mujer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3.456.923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3.518.267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6.975.190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1.738.767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W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3.356.762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3.358.487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1.549.837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Bancamía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2.455.971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36.648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2.492.619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1.246.804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Bancompartir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638.561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166.219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804.780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651.507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Coopcentral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399.142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569.461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968.603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1.567.261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Finandina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324.599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324.599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387.282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Procredit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88.355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262.391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350.746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284.209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61E0" w:rsidRPr="00E261E0" w:rsidRDefault="00E261E0" w:rsidP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Banco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ntander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20.553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64.662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85.215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2.669.444</w:t>
            </w:r>
          </w:p>
        </w:tc>
      </w:tr>
      <w:tr w:rsidR="00E261E0" w:rsidRPr="008800ED" w:rsidTr="00141555">
        <w:trPr>
          <w:trHeight w:val="283"/>
        </w:trPr>
        <w:tc>
          <w:tcPr>
            <w:tcW w:w="582" w:type="dxa"/>
            <w:vAlign w:val="center"/>
          </w:tcPr>
          <w:p w:rsidR="00E261E0" w:rsidRPr="00B710C0" w:rsidRDefault="00E261E0" w:rsidP="00E075B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Multibank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8.454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11.254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1E0">
              <w:rPr>
                <w:rFonts w:ascii="Arial" w:hAnsi="Arial" w:cs="Arial"/>
                <w:color w:val="000000"/>
                <w:sz w:val="18"/>
                <w:szCs w:val="18"/>
              </w:rPr>
              <w:t>74.232</w:t>
            </w:r>
          </w:p>
        </w:tc>
      </w:tr>
      <w:tr w:rsidR="00E261E0" w:rsidRPr="008800ED" w:rsidTr="00D9166E">
        <w:trPr>
          <w:trHeight w:val="454"/>
        </w:trPr>
        <w:tc>
          <w:tcPr>
            <w:tcW w:w="3134" w:type="dxa"/>
            <w:gridSpan w:val="2"/>
            <w:shd w:val="clear" w:color="auto" w:fill="31849B" w:themeFill="accent5" w:themeFillShade="BF"/>
            <w:vAlign w:val="center"/>
          </w:tcPr>
          <w:p w:rsidR="00E261E0" w:rsidRPr="00B710C0" w:rsidRDefault="00E261E0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B710C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E261E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1.387.622.411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E261E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1.274.408.076</w:t>
            </w:r>
          </w:p>
        </w:tc>
        <w:tc>
          <w:tcPr>
            <w:tcW w:w="1292" w:type="dxa"/>
            <w:shd w:val="clear" w:color="auto" w:fill="31849B" w:themeFill="accent5" w:themeFillShade="BF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E261E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2.662.030.487</w:t>
            </w:r>
          </w:p>
        </w:tc>
        <w:tc>
          <w:tcPr>
            <w:tcW w:w="1543" w:type="dxa"/>
            <w:shd w:val="clear" w:color="auto" w:fill="31849B" w:themeFill="accent5" w:themeFillShade="BF"/>
            <w:vAlign w:val="center"/>
            <w:hideMark/>
          </w:tcPr>
          <w:p w:rsidR="00E261E0" w:rsidRPr="00E261E0" w:rsidRDefault="00E261E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E261E0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3.509.404.032</w:t>
            </w:r>
          </w:p>
        </w:tc>
      </w:tr>
    </w:tbl>
    <w:p w:rsidR="0049151E" w:rsidRDefault="0049151E" w:rsidP="00770FBA">
      <w:pPr>
        <w:jc w:val="both"/>
        <w:rPr>
          <w:rFonts w:ascii="Arial" w:hAnsi="Arial" w:cs="Arial"/>
          <w:sz w:val="22"/>
          <w:szCs w:val="22"/>
        </w:rPr>
      </w:pPr>
    </w:p>
    <w:p w:rsidR="00CB0B31" w:rsidRPr="009E2F86" w:rsidRDefault="00CB0B31" w:rsidP="00E83EC1">
      <w:pPr>
        <w:pStyle w:val="Ttulo1"/>
        <w:numPr>
          <w:ilvl w:val="1"/>
          <w:numId w:val="6"/>
        </w:numPr>
        <w:spacing w:before="0" w:after="0"/>
        <w:ind w:left="567" w:hanging="567"/>
        <w:rPr>
          <w:sz w:val="24"/>
          <w:szCs w:val="24"/>
        </w:rPr>
      </w:pPr>
      <w:bookmarkStart w:id="137" w:name="_Toc207594853"/>
      <w:bookmarkStart w:id="138" w:name="_Toc208614964"/>
      <w:bookmarkStart w:id="139" w:name="_Toc208620255"/>
      <w:bookmarkStart w:id="140" w:name="_Toc208936075"/>
      <w:bookmarkStart w:id="141" w:name="_Toc208936249"/>
      <w:bookmarkStart w:id="142" w:name="_Toc208936340"/>
      <w:bookmarkStart w:id="143" w:name="_Toc208936384"/>
      <w:bookmarkStart w:id="144" w:name="_Toc209150992"/>
      <w:bookmarkStart w:id="145" w:name="_Toc210206814"/>
      <w:bookmarkStart w:id="146" w:name="_Toc256582623"/>
      <w:bookmarkStart w:id="147" w:name="_Toc413319468"/>
      <w:bookmarkStart w:id="148" w:name="_Toc413319767"/>
      <w:bookmarkStart w:id="149" w:name="_Toc413320323"/>
      <w:bookmarkStart w:id="150" w:name="_Toc491787019"/>
      <w:r>
        <w:rPr>
          <w:sz w:val="24"/>
          <w:szCs w:val="24"/>
        </w:rPr>
        <w:lastRenderedPageBreak/>
        <w:t>Compañías de Financiamient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rPr>
          <w:sz w:val="24"/>
          <w:szCs w:val="24"/>
        </w:rPr>
        <w:t>o</w:t>
      </w:r>
      <w:bookmarkEnd w:id="147"/>
      <w:bookmarkEnd w:id="148"/>
      <w:bookmarkEnd w:id="149"/>
      <w:bookmarkEnd w:id="150"/>
    </w:p>
    <w:p w:rsidR="00CB0B31" w:rsidRDefault="00CB0B31" w:rsidP="00770FBA">
      <w:pPr>
        <w:jc w:val="both"/>
        <w:rPr>
          <w:rFonts w:ascii="Arial" w:hAnsi="Arial" w:cs="Arial"/>
        </w:rPr>
      </w:pPr>
    </w:p>
    <w:p w:rsidR="00C61616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6F6110">
        <w:rPr>
          <w:rFonts w:ascii="Arial" w:hAnsi="Arial" w:cs="Arial"/>
          <w:sz w:val="22"/>
          <w:szCs w:val="22"/>
        </w:rPr>
        <w:t xml:space="preserve">Las compañías de financiamiento </w:t>
      </w:r>
      <w:r>
        <w:rPr>
          <w:rFonts w:ascii="Arial" w:hAnsi="Arial" w:cs="Arial"/>
          <w:sz w:val="22"/>
          <w:szCs w:val="22"/>
        </w:rPr>
        <w:t>r</w:t>
      </w:r>
      <w:r w:rsidRPr="006F6110">
        <w:rPr>
          <w:rFonts w:ascii="Arial" w:hAnsi="Arial" w:cs="Arial"/>
          <w:sz w:val="22"/>
          <w:szCs w:val="22"/>
        </w:rPr>
        <w:t xml:space="preserve">eportaron </w:t>
      </w:r>
      <w:r w:rsidR="0018290D" w:rsidRPr="0018290D">
        <w:rPr>
          <w:rFonts w:ascii="Arial" w:hAnsi="Arial" w:cs="Arial"/>
          <w:sz w:val="22"/>
          <w:szCs w:val="22"/>
        </w:rPr>
        <w:t>53.493.561</w:t>
      </w:r>
      <w:r w:rsidRPr="006F6110">
        <w:rPr>
          <w:rFonts w:ascii="Arial" w:hAnsi="Arial" w:cs="Arial"/>
          <w:bCs/>
          <w:sz w:val="22"/>
          <w:szCs w:val="22"/>
        </w:rPr>
        <w:t xml:space="preserve"> operaciones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18290D" w:rsidRPr="0018290D">
        <w:rPr>
          <w:rFonts w:ascii="Arial" w:hAnsi="Arial" w:cs="Arial"/>
          <w:bCs/>
          <w:sz w:val="22"/>
          <w:szCs w:val="22"/>
        </w:rPr>
        <w:t>31.889.309</w:t>
      </w:r>
      <w:r>
        <w:rPr>
          <w:rFonts w:ascii="Arial" w:hAnsi="Arial" w:cs="Arial"/>
          <w:sz w:val="22"/>
          <w:szCs w:val="22"/>
        </w:rPr>
        <w:t xml:space="preserve"> monetarias</w:t>
      </w:r>
      <w:r w:rsidRPr="006F6110">
        <w:rPr>
          <w:rFonts w:ascii="Arial" w:hAnsi="Arial" w:cs="Arial"/>
          <w:sz w:val="22"/>
          <w:szCs w:val="22"/>
        </w:rPr>
        <w:t xml:space="preserve"> por</w:t>
      </w:r>
      <w:r w:rsidR="00936B94">
        <w:rPr>
          <w:rFonts w:ascii="Arial" w:hAnsi="Arial" w:cs="Arial"/>
          <w:sz w:val="22"/>
          <w:szCs w:val="22"/>
        </w:rPr>
        <w:t xml:space="preserve"> </w:t>
      </w:r>
      <w:r w:rsidRPr="006F6110">
        <w:rPr>
          <w:rFonts w:ascii="Arial" w:hAnsi="Arial" w:cs="Arial"/>
          <w:sz w:val="22"/>
          <w:szCs w:val="22"/>
        </w:rPr>
        <w:t>$</w:t>
      </w:r>
      <w:r w:rsidR="0018290D">
        <w:rPr>
          <w:rFonts w:ascii="Arial" w:hAnsi="Arial" w:cs="Arial"/>
          <w:sz w:val="22"/>
          <w:szCs w:val="22"/>
        </w:rPr>
        <w:t>13</w:t>
      </w:r>
      <w:r w:rsidR="00F73971">
        <w:rPr>
          <w:rFonts w:ascii="Arial" w:hAnsi="Arial" w:cs="Arial"/>
          <w:sz w:val="22"/>
          <w:szCs w:val="22"/>
        </w:rPr>
        <w:t>,</w:t>
      </w:r>
      <w:r w:rsidR="0018290D">
        <w:rPr>
          <w:rFonts w:ascii="Arial" w:hAnsi="Arial" w:cs="Arial"/>
          <w:sz w:val="22"/>
          <w:szCs w:val="22"/>
        </w:rPr>
        <w:t>8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Pr="006F6110">
        <w:rPr>
          <w:rFonts w:ascii="Arial" w:hAnsi="Arial" w:cs="Arial"/>
          <w:sz w:val="22"/>
          <w:szCs w:val="22"/>
        </w:rPr>
        <w:t>billones</w:t>
      </w:r>
      <w:r w:rsidR="00936B94">
        <w:rPr>
          <w:rFonts w:ascii="Arial" w:hAnsi="Arial" w:cs="Arial"/>
          <w:sz w:val="22"/>
          <w:szCs w:val="22"/>
        </w:rPr>
        <w:t xml:space="preserve"> de pesos</w:t>
      </w:r>
      <w:r w:rsidRPr="006F6110">
        <w:rPr>
          <w:rFonts w:ascii="Arial" w:hAnsi="Arial" w:cs="Arial"/>
          <w:sz w:val="22"/>
          <w:szCs w:val="22"/>
        </w:rPr>
        <w:t xml:space="preserve"> y </w:t>
      </w:r>
      <w:r w:rsidR="0018290D" w:rsidRPr="0018290D">
        <w:rPr>
          <w:rFonts w:ascii="Arial" w:hAnsi="Arial" w:cs="Arial"/>
          <w:sz w:val="22"/>
          <w:szCs w:val="22"/>
        </w:rPr>
        <w:t>21.604.252</w:t>
      </w:r>
      <w:r w:rsidR="00936B94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 xml:space="preserve">monetarias. </w:t>
      </w:r>
    </w:p>
    <w:p w:rsidR="00C61616" w:rsidRPr="0049151E" w:rsidRDefault="00C61616" w:rsidP="00770FBA">
      <w:pPr>
        <w:jc w:val="both"/>
        <w:rPr>
          <w:rFonts w:ascii="Arial" w:hAnsi="Arial" w:cs="Arial"/>
          <w:szCs w:val="22"/>
        </w:rPr>
      </w:pPr>
    </w:p>
    <w:p w:rsidR="00951E94" w:rsidRPr="0049151E" w:rsidRDefault="00CB0B31" w:rsidP="001F05CF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 w:val="22"/>
          <w:szCs w:val="22"/>
        </w:rPr>
        <w:t xml:space="preserve">El mayor número de operaciones monetarias se registró en datáfonos, con </w:t>
      </w:r>
      <w:r w:rsidR="00451728" w:rsidRPr="00451728">
        <w:rPr>
          <w:rFonts w:ascii="Arial" w:hAnsi="Arial" w:cs="Arial"/>
          <w:sz w:val="22"/>
          <w:szCs w:val="22"/>
        </w:rPr>
        <w:t>1</w:t>
      </w:r>
      <w:r w:rsidR="0018290D">
        <w:rPr>
          <w:rFonts w:ascii="Arial" w:hAnsi="Arial" w:cs="Arial"/>
          <w:sz w:val="22"/>
          <w:szCs w:val="22"/>
        </w:rPr>
        <w:t>7</w:t>
      </w:r>
      <w:r w:rsidR="00451728" w:rsidRPr="00451728">
        <w:rPr>
          <w:rFonts w:ascii="Arial" w:hAnsi="Arial" w:cs="Arial"/>
          <w:sz w:val="22"/>
          <w:szCs w:val="22"/>
        </w:rPr>
        <w:t>.</w:t>
      </w:r>
      <w:r w:rsidR="0018290D">
        <w:rPr>
          <w:rFonts w:ascii="Arial" w:hAnsi="Arial" w:cs="Arial"/>
          <w:sz w:val="22"/>
          <w:szCs w:val="22"/>
        </w:rPr>
        <w:t>981</w:t>
      </w:r>
      <w:r w:rsidR="00451728" w:rsidRPr="00451728">
        <w:rPr>
          <w:rFonts w:ascii="Arial" w:hAnsi="Arial" w:cs="Arial"/>
          <w:sz w:val="22"/>
          <w:szCs w:val="22"/>
        </w:rPr>
        <w:t>.</w:t>
      </w:r>
      <w:r w:rsidR="002D1A02">
        <w:rPr>
          <w:rFonts w:ascii="Arial" w:hAnsi="Arial" w:cs="Arial"/>
          <w:sz w:val="22"/>
          <w:szCs w:val="22"/>
        </w:rPr>
        <w:t>1</w:t>
      </w:r>
      <w:r w:rsidR="0018290D">
        <w:rPr>
          <w:rFonts w:ascii="Arial" w:hAnsi="Arial" w:cs="Arial"/>
          <w:sz w:val="22"/>
          <w:szCs w:val="22"/>
        </w:rPr>
        <w:t>8</w:t>
      </w:r>
      <w:r w:rsidR="002D1A02">
        <w:rPr>
          <w:rFonts w:ascii="Arial" w:hAnsi="Arial" w:cs="Arial"/>
          <w:sz w:val="22"/>
          <w:szCs w:val="22"/>
        </w:rPr>
        <w:t>5</w:t>
      </w:r>
      <w:r w:rsidR="00451728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or </w:t>
      </w:r>
      <w:r w:rsidRPr="00804B7D">
        <w:rPr>
          <w:rFonts w:ascii="Arial" w:hAnsi="Arial" w:cs="Arial"/>
          <w:sz w:val="22"/>
          <w:szCs w:val="22"/>
        </w:rPr>
        <w:t>$</w:t>
      </w:r>
      <w:r w:rsidR="0018290D">
        <w:rPr>
          <w:rFonts w:ascii="Arial" w:hAnsi="Arial" w:cs="Arial"/>
          <w:sz w:val="22"/>
          <w:szCs w:val="22"/>
        </w:rPr>
        <w:t>5</w:t>
      </w:r>
      <w:r w:rsidR="00C61616">
        <w:rPr>
          <w:rFonts w:ascii="Arial" w:hAnsi="Arial" w:cs="Arial"/>
          <w:sz w:val="22"/>
          <w:szCs w:val="22"/>
        </w:rPr>
        <w:t>,</w:t>
      </w:r>
      <w:r w:rsidR="0018290D">
        <w:rPr>
          <w:rFonts w:ascii="Arial" w:hAnsi="Arial" w:cs="Arial"/>
          <w:sz w:val="22"/>
          <w:szCs w:val="22"/>
        </w:rPr>
        <w:t>2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Pr="00804B7D">
        <w:rPr>
          <w:rFonts w:ascii="Arial" w:hAnsi="Arial" w:cs="Arial"/>
          <w:sz w:val="22"/>
          <w:szCs w:val="22"/>
        </w:rPr>
        <w:t>billones</w:t>
      </w:r>
      <w:r w:rsidR="00362E3D">
        <w:rPr>
          <w:rFonts w:ascii="Arial" w:hAnsi="Arial" w:cs="Arial"/>
          <w:sz w:val="22"/>
          <w:szCs w:val="22"/>
        </w:rPr>
        <w:t xml:space="preserve"> de pesos</w:t>
      </w:r>
      <w:r>
        <w:rPr>
          <w:rFonts w:ascii="Arial" w:hAnsi="Arial" w:cs="Arial"/>
          <w:sz w:val="22"/>
          <w:szCs w:val="22"/>
        </w:rPr>
        <w:t>.</w:t>
      </w:r>
    </w:p>
    <w:p w:rsidR="00CB0B31" w:rsidRPr="00E10CA7" w:rsidRDefault="00317D96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1559"/>
        <w:gridCol w:w="1560"/>
        <w:gridCol w:w="1559"/>
      </w:tblGrid>
      <w:tr w:rsidR="00C65C50" w:rsidRPr="00C65C50" w:rsidTr="00D9166E">
        <w:trPr>
          <w:trHeight w:val="737"/>
          <w:tblHeader/>
        </w:trPr>
        <w:tc>
          <w:tcPr>
            <w:tcW w:w="2283" w:type="dxa"/>
            <w:shd w:val="clear" w:color="auto" w:fill="31849B" w:themeFill="accent5" w:themeFillShade="BF"/>
            <w:vAlign w:val="center"/>
            <w:hideMark/>
          </w:tcPr>
          <w:p w:rsidR="00C65C50" w:rsidRPr="00C65C50" w:rsidRDefault="00C65C50" w:rsidP="00C65C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151" w:name="_Toc207594854"/>
            <w:bookmarkStart w:id="152" w:name="_Toc208614966"/>
            <w:bookmarkStart w:id="153" w:name="_Toc208620257"/>
            <w:bookmarkStart w:id="154" w:name="_Toc208936077"/>
            <w:bookmarkStart w:id="155" w:name="_Toc208936251"/>
            <w:bookmarkStart w:id="156" w:name="_Toc208936341"/>
            <w:bookmarkStart w:id="157" w:name="_Toc208936385"/>
            <w:bookmarkStart w:id="158" w:name="_Toc209150993"/>
            <w:bookmarkStart w:id="159" w:name="_Toc210206815"/>
            <w:r w:rsidRPr="00C65C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  <w:hideMark/>
          </w:tcPr>
          <w:p w:rsidR="00C65C50" w:rsidRPr="00C65C50" w:rsidRDefault="00C65C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5C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C65C50" w:rsidRPr="00C65C50" w:rsidRDefault="00C65C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5C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C65C50" w:rsidRPr="00C65C50" w:rsidRDefault="00C65C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5C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C65C50" w:rsidRPr="00C65C50" w:rsidRDefault="00C65C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5C5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Datáfonos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17.981.185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355.750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18.336.935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5.284.062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Corresponsales Bancarios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7.513.244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7.513.244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2.266.287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Oficinas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4.953.951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2.136.155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7.090.106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5.597.948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Cajeros Automáticos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949.223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40.073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989.296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323.850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ACH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309.882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309.882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219.518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Internet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95.055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4.368.021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4.463.076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88.132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Audio Respuesta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58.661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14.704.253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14.762.914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62.586</w:t>
            </w:r>
          </w:p>
        </w:tc>
      </w:tr>
      <w:tr w:rsidR="0018290D" w:rsidRPr="00C65C50" w:rsidTr="009F40E9">
        <w:trPr>
          <w:trHeight w:val="283"/>
        </w:trPr>
        <w:tc>
          <w:tcPr>
            <w:tcW w:w="228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Pagos Automáticos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28.108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28.108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8290D">
              <w:rPr>
                <w:rFonts w:ascii="Arial" w:hAnsi="Arial" w:cs="Arial"/>
                <w:color w:val="000000"/>
                <w:sz w:val="18"/>
                <w:szCs w:val="22"/>
              </w:rPr>
              <w:t>20.390</w:t>
            </w:r>
          </w:p>
        </w:tc>
      </w:tr>
      <w:tr w:rsidR="0018290D" w:rsidRPr="00C65C50" w:rsidTr="00D9166E">
        <w:trPr>
          <w:trHeight w:val="397"/>
        </w:trPr>
        <w:tc>
          <w:tcPr>
            <w:tcW w:w="2283" w:type="dxa"/>
            <w:shd w:val="clear" w:color="auto" w:fill="31849B" w:themeFill="accent5" w:themeFillShade="BF"/>
            <w:vAlign w:val="center"/>
            <w:hideMark/>
          </w:tcPr>
          <w:p w:rsidR="0018290D" w:rsidRPr="00344FAC" w:rsidRDefault="0018290D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344FAC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8290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31.889.309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8290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21.604.252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8290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53.493.561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18290D" w:rsidRPr="0018290D" w:rsidRDefault="0018290D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18290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13.862.773</w:t>
            </w:r>
          </w:p>
        </w:tc>
      </w:tr>
    </w:tbl>
    <w:p w:rsidR="008A5C90" w:rsidRPr="0049151E" w:rsidRDefault="008A5C90" w:rsidP="00770FBA">
      <w:pPr>
        <w:rPr>
          <w:rFonts w:ascii="Arial" w:hAnsi="Arial" w:cs="Arial"/>
        </w:rPr>
      </w:pPr>
    </w:p>
    <w:p w:rsidR="00CB0B31" w:rsidRPr="00BC08BA" w:rsidRDefault="00CB0B31" w:rsidP="00770FBA">
      <w:pPr>
        <w:rPr>
          <w:rFonts w:ascii="Arial" w:hAnsi="Arial" w:cs="Arial"/>
          <w:b/>
        </w:rPr>
      </w:pPr>
      <w:r w:rsidRPr="00BC08BA">
        <w:rPr>
          <w:rFonts w:ascii="Arial" w:hAnsi="Arial" w:cs="Arial"/>
          <w:b/>
        </w:rPr>
        <w:t>Detalle de Operaciones por Entidad</w:t>
      </w:r>
    </w:p>
    <w:p w:rsidR="00CB0B31" w:rsidRPr="00E10CA7" w:rsidRDefault="00CB7DB9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1418"/>
        <w:gridCol w:w="1276"/>
        <w:gridCol w:w="1417"/>
        <w:gridCol w:w="1276"/>
      </w:tblGrid>
      <w:tr w:rsidR="00C729D0" w:rsidRPr="00A76E18" w:rsidTr="00D9166E">
        <w:trPr>
          <w:trHeight w:val="737"/>
          <w:tblHeader/>
        </w:trPr>
        <w:tc>
          <w:tcPr>
            <w:tcW w:w="724" w:type="dxa"/>
            <w:shd w:val="clear" w:color="auto" w:fill="31849B" w:themeFill="accent5" w:themeFillShade="BF"/>
            <w:vAlign w:val="center"/>
          </w:tcPr>
          <w:p w:rsidR="00C729D0" w:rsidRDefault="00C729D0" w:rsidP="00C729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693" w:type="dxa"/>
            <w:shd w:val="clear" w:color="auto" w:fill="31849B" w:themeFill="accent5" w:themeFillShade="BF"/>
            <w:vAlign w:val="center"/>
            <w:hideMark/>
          </w:tcPr>
          <w:p w:rsidR="00C729D0" w:rsidRPr="00A76E18" w:rsidRDefault="00C729D0" w:rsidP="008A6F3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C729D0" w:rsidRPr="00A76E18" w:rsidRDefault="00C729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6E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C729D0" w:rsidRPr="00A76E18" w:rsidRDefault="00C729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6E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C729D0" w:rsidRPr="00A76E18" w:rsidRDefault="00C729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6E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C729D0" w:rsidRPr="00A76E18" w:rsidRDefault="00C729D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76E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Tuya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20.128.400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17.222.062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37.350.462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6.484.976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Serfinansa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5.615.985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3.842.997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9.458.982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2.086.436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Giros &amp; Finanzas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4.990.706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260.004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5.250.710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3.145.847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Financiera Juriscoop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996.766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208.707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1.205.473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815.549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Coltefinanciera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83.488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25.977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109.465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1.222.707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 w:rsidP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pportunity International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42.107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33.147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75.254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55.041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 w:rsidP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Financial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27.782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9.134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36.916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20.029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 w:rsidP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Financiera Pagos Internacionales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3.371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Financiera Dann Regional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2.771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16.208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Arco Grupo Bancoldex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12.609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Leasing Corficolombiana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 w:rsidP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Credifinanciera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0914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785C78" w:rsidRPr="00785C78">
              <w:rPr>
                <w:rFonts w:ascii="Arial" w:hAnsi="Arial" w:cs="Arial"/>
                <w:color w:val="000000"/>
                <w:sz w:val="18"/>
                <w:szCs w:val="18"/>
              </w:rPr>
              <w:t>a Hipotecaria</w:t>
            </w:r>
            <w:r w:rsidR="00785C7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85C78" w:rsidRPr="00785C78" w:rsidRDefault="00785C78" w:rsidP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Colombia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5C78" w:rsidRPr="00A76E18" w:rsidTr="00C729D0">
        <w:trPr>
          <w:trHeight w:val="283"/>
        </w:trPr>
        <w:tc>
          <w:tcPr>
            <w:tcW w:w="724" w:type="dxa"/>
            <w:vAlign w:val="center"/>
          </w:tcPr>
          <w:p w:rsidR="00785C78" w:rsidRPr="008E32AA" w:rsidRDefault="00785C78" w:rsidP="00C729D0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5C78" w:rsidRPr="00785C78" w:rsidRDefault="00785C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Credifamilia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C78" w:rsidRPr="00785C78" w:rsidRDefault="00785C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5C78" w:rsidRPr="00A76E18" w:rsidTr="00D9166E">
        <w:trPr>
          <w:trHeight w:val="397"/>
        </w:trPr>
        <w:tc>
          <w:tcPr>
            <w:tcW w:w="3417" w:type="dxa"/>
            <w:gridSpan w:val="2"/>
            <w:shd w:val="clear" w:color="auto" w:fill="31849B" w:themeFill="accent5" w:themeFillShade="BF"/>
            <w:vAlign w:val="center"/>
          </w:tcPr>
          <w:p w:rsidR="00785C78" w:rsidRPr="008E32AA" w:rsidRDefault="00785C78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E32A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785C7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31.889.309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785C7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21.604.252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785C7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53.493.561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785C78" w:rsidRPr="00785C78" w:rsidRDefault="00785C7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785C78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13.862.773</w:t>
            </w:r>
          </w:p>
        </w:tc>
      </w:tr>
    </w:tbl>
    <w:p w:rsidR="00275394" w:rsidRDefault="00466CCA" w:rsidP="00770F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(*) Entidades que recaudan a través de otras redes.</w:t>
      </w:r>
    </w:p>
    <w:p w:rsidR="00466CCA" w:rsidRPr="00AB71D0" w:rsidRDefault="00466CCA" w:rsidP="00770FBA">
      <w:pPr>
        <w:rPr>
          <w:rFonts w:ascii="Arial" w:hAnsi="Arial" w:cs="Arial"/>
        </w:rPr>
      </w:pPr>
    </w:p>
    <w:p w:rsidR="00CB0B31" w:rsidRPr="009E2F86" w:rsidRDefault="00CB0B31" w:rsidP="00E83EC1">
      <w:pPr>
        <w:pStyle w:val="Ttulo1"/>
        <w:numPr>
          <w:ilvl w:val="1"/>
          <w:numId w:val="6"/>
        </w:numPr>
        <w:spacing w:before="0" w:after="0"/>
        <w:ind w:left="567" w:hanging="567"/>
        <w:rPr>
          <w:sz w:val="24"/>
          <w:szCs w:val="24"/>
        </w:rPr>
      </w:pPr>
      <w:bookmarkStart w:id="160" w:name="_Toc207594855"/>
      <w:bookmarkStart w:id="161" w:name="_Toc208614967"/>
      <w:bookmarkStart w:id="162" w:name="_Toc208620258"/>
      <w:bookmarkStart w:id="163" w:name="_Toc208936078"/>
      <w:bookmarkStart w:id="164" w:name="_Toc208936252"/>
      <w:bookmarkStart w:id="165" w:name="_Toc208936342"/>
      <w:bookmarkStart w:id="166" w:name="_Toc208936386"/>
      <w:bookmarkStart w:id="167" w:name="_Toc209150994"/>
      <w:bookmarkStart w:id="168" w:name="_Toc210206816"/>
      <w:bookmarkStart w:id="169" w:name="_Toc256582625"/>
      <w:bookmarkStart w:id="170" w:name="_Toc413319469"/>
      <w:bookmarkStart w:id="171" w:name="_Toc413319768"/>
      <w:bookmarkStart w:id="172" w:name="_Toc413320324"/>
      <w:bookmarkStart w:id="173" w:name="_Toc49178702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>
        <w:rPr>
          <w:sz w:val="24"/>
          <w:szCs w:val="24"/>
        </w:rPr>
        <w:lastRenderedPageBreak/>
        <w:t>Cooperativas Financieras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CB0B31" w:rsidRPr="00AB71D0" w:rsidRDefault="00CB0B31" w:rsidP="00770FBA">
      <w:pPr>
        <w:jc w:val="both"/>
        <w:rPr>
          <w:rFonts w:ascii="Arial" w:hAnsi="Arial" w:cs="Arial"/>
          <w:szCs w:val="28"/>
        </w:rPr>
      </w:pPr>
    </w:p>
    <w:p w:rsidR="0037514F" w:rsidRPr="0049151E" w:rsidRDefault="00CB0B31" w:rsidP="00770FBA">
      <w:pPr>
        <w:jc w:val="both"/>
        <w:rPr>
          <w:rFonts w:ascii="Arial" w:hAnsi="Arial" w:cs="Arial"/>
          <w:szCs w:val="22"/>
        </w:rPr>
      </w:pPr>
      <w:r w:rsidRPr="00F10A87">
        <w:rPr>
          <w:rFonts w:ascii="Arial" w:hAnsi="Arial" w:cs="Arial"/>
          <w:sz w:val="22"/>
          <w:szCs w:val="22"/>
        </w:rPr>
        <w:t xml:space="preserve">Las cooperativas financieras reportaron </w:t>
      </w:r>
      <w:r w:rsidR="001E1F44">
        <w:rPr>
          <w:rFonts w:ascii="Arial" w:hAnsi="Arial" w:cs="Arial"/>
          <w:sz w:val="22"/>
          <w:szCs w:val="22"/>
        </w:rPr>
        <w:t>7</w:t>
      </w:r>
      <w:r w:rsidR="00BF7DD9" w:rsidRPr="00BF7DD9">
        <w:rPr>
          <w:rFonts w:ascii="Arial" w:hAnsi="Arial" w:cs="Arial"/>
          <w:sz w:val="22"/>
          <w:szCs w:val="22"/>
        </w:rPr>
        <w:t>.</w:t>
      </w:r>
      <w:r w:rsidR="001E1F44">
        <w:rPr>
          <w:rFonts w:ascii="Arial" w:hAnsi="Arial" w:cs="Arial"/>
          <w:sz w:val="22"/>
          <w:szCs w:val="22"/>
        </w:rPr>
        <w:t>225</w:t>
      </w:r>
      <w:r w:rsidR="00BF7DD9" w:rsidRPr="00BF7DD9">
        <w:rPr>
          <w:rFonts w:ascii="Arial" w:hAnsi="Arial" w:cs="Arial"/>
          <w:sz w:val="22"/>
          <w:szCs w:val="22"/>
        </w:rPr>
        <w:t>.</w:t>
      </w:r>
      <w:r w:rsidR="001E1F44">
        <w:rPr>
          <w:rFonts w:ascii="Arial" w:hAnsi="Arial" w:cs="Arial"/>
          <w:sz w:val="22"/>
          <w:szCs w:val="22"/>
        </w:rPr>
        <w:t>120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Pr="00F10A87">
        <w:rPr>
          <w:rFonts w:ascii="Arial" w:hAnsi="Arial" w:cs="Arial"/>
          <w:bCs/>
          <w:sz w:val="22"/>
          <w:szCs w:val="22"/>
        </w:rPr>
        <w:t xml:space="preserve">operaciones; </w:t>
      </w:r>
      <w:r w:rsidR="001E1F44">
        <w:rPr>
          <w:rFonts w:ascii="Arial" w:hAnsi="Arial" w:cs="Arial"/>
          <w:bCs/>
          <w:sz w:val="22"/>
          <w:szCs w:val="22"/>
        </w:rPr>
        <w:t>6</w:t>
      </w:r>
      <w:r w:rsidR="00BF7DD9" w:rsidRPr="00BF7DD9">
        <w:rPr>
          <w:rFonts w:ascii="Arial" w:hAnsi="Arial" w:cs="Arial"/>
          <w:bCs/>
          <w:sz w:val="22"/>
          <w:szCs w:val="22"/>
        </w:rPr>
        <w:t>.</w:t>
      </w:r>
      <w:r w:rsidR="001E1F44">
        <w:rPr>
          <w:rFonts w:ascii="Arial" w:hAnsi="Arial" w:cs="Arial"/>
          <w:bCs/>
          <w:sz w:val="22"/>
          <w:szCs w:val="22"/>
        </w:rPr>
        <w:t>630</w:t>
      </w:r>
      <w:r w:rsidR="00BF7DD9" w:rsidRPr="00BF7DD9">
        <w:rPr>
          <w:rFonts w:ascii="Arial" w:hAnsi="Arial" w:cs="Arial"/>
          <w:bCs/>
          <w:sz w:val="22"/>
          <w:szCs w:val="22"/>
        </w:rPr>
        <w:t>.</w:t>
      </w:r>
      <w:r w:rsidR="00177597">
        <w:rPr>
          <w:rFonts w:ascii="Arial" w:hAnsi="Arial" w:cs="Arial"/>
          <w:bCs/>
          <w:sz w:val="22"/>
          <w:szCs w:val="22"/>
        </w:rPr>
        <w:t>14</w:t>
      </w:r>
      <w:r w:rsidR="001E1F44">
        <w:rPr>
          <w:rFonts w:ascii="Arial" w:hAnsi="Arial" w:cs="Arial"/>
          <w:bCs/>
          <w:sz w:val="22"/>
          <w:szCs w:val="22"/>
        </w:rPr>
        <w:t>1</w:t>
      </w:r>
      <w:r w:rsidRPr="00F10A87">
        <w:rPr>
          <w:rFonts w:ascii="Arial" w:hAnsi="Arial" w:cs="Arial"/>
          <w:sz w:val="22"/>
          <w:szCs w:val="22"/>
        </w:rPr>
        <w:t xml:space="preserve"> monetarias por</w:t>
      </w:r>
      <w:r w:rsidR="00BF7DD9">
        <w:rPr>
          <w:rFonts w:ascii="Arial" w:hAnsi="Arial" w:cs="Arial"/>
          <w:sz w:val="22"/>
          <w:szCs w:val="22"/>
        </w:rPr>
        <w:t xml:space="preserve"> </w:t>
      </w:r>
      <w:r w:rsidRPr="00F10A87">
        <w:rPr>
          <w:rFonts w:ascii="Arial" w:hAnsi="Arial" w:cs="Arial"/>
          <w:sz w:val="22"/>
          <w:szCs w:val="22"/>
        </w:rPr>
        <w:t>$</w:t>
      </w:r>
      <w:r w:rsidR="001E1F44">
        <w:rPr>
          <w:rFonts w:ascii="Arial" w:hAnsi="Arial" w:cs="Arial"/>
          <w:sz w:val="22"/>
          <w:szCs w:val="22"/>
        </w:rPr>
        <w:t>5</w:t>
      </w:r>
      <w:r w:rsidR="00F872C6">
        <w:rPr>
          <w:rFonts w:ascii="Arial" w:hAnsi="Arial" w:cs="Arial"/>
          <w:sz w:val="22"/>
          <w:szCs w:val="22"/>
        </w:rPr>
        <w:t>,</w:t>
      </w:r>
      <w:r w:rsidR="001E1F44">
        <w:rPr>
          <w:rFonts w:ascii="Arial" w:hAnsi="Arial" w:cs="Arial"/>
          <w:sz w:val="22"/>
          <w:szCs w:val="22"/>
        </w:rPr>
        <w:t>4</w:t>
      </w:r>
      <w:r w:rsidRPr="00F10A87">
        <w:rPr>
          <w:rFonts w:ascii="Arial" w:hAnsi="Arial" w:cs="Arial"/>
          <w:sz w:val="22"/>
          <w:szCs w:val="22"/>
        </w:rPr>
        <w:t xml:space="preserve"> billones</w:t>
      </w:r>
      <w:r w:rsidR="00BF7DD9">
        <w:rPr>
          <w:rFonts w:ascii="Arial" w:hAnsi="Arial" w:cs="Arial"/>
          <w:sz w:val="22"/>
          <w:szCs w:val="22"/>
        </w:rPr>
        <w:t xml:space="preserve"> de pesos</w:t>
      </w:r>
      <w:r w:rsidRPr="00F10A87">
        <w:rPr>
          <w:rFonts w:ascii="Arial" w:hAnsi="Arial" w:cs="Arial"/>
          <w:sz w:val="22"/>
          <w:szCs w:val="22"/>
        </w:rPr>
        <w:t xml:space="preserve"> y </w:t>
      </w:r>
      <w:r w:rsidR="00177597">
        <w:rPr>
          <w:rFonts w:ascii="Arial" w:hAnsi="Arial" w:cs="Arial"/>
          <w:sz w:val="22"/>
          <w:szCs w:val="22"/>
        </w:rPr>
        <w:t>5</w:t>
      </w:r>
      <w:r w:rsidR="001E1F44">
        <w:rPr>
          <w:rFonts w:ascii="Arial" w:hAnsi="Arial" w:cs="Arial"/>
          <w:sz w:val="22"/>
          <w:szCs w:val="22"/>
        </w:rPr>
        <w:t>94</w:t>
      </w:r>
      <w:r w:rsidR="00BF7DD9" w:rsidRPr="00BF7DD9">
        <w:rPr>
          <w:rFonts w:ascii="Arial" w:hAnsi="Arial" w:cs="Arial"/>
          <w:sz w:val="22"/>
          <w:szCs w:val="22"/>
        </w:rPr>
        <w:t>.</w:t>
      </w:r>
      <w:r w:rsidR="001E1F44">
        <w:rPr>
          <w:rFonts w:ascii="Arial" w:hAnsi="Arial" w:cs="Arial"/>
          <w:sz w:val="22"/>
          <w:szCs w:val="22"/>
        </w:rPr>
        <w:t>979</w:t>
      </w:r>
      <w:r w:rsidRPr="00F10A87">
        <w:rPr>
          <w:rFonts w:ascii="Arial" w:hAnsi="Arial" w:cs="Arial"/>
          <w:sz w:val="22"/>
          <w:szCs w:val="22"/>
        </w:rPr>
        <w:t xml:space="preserve"> no monetarias. Las oficinas de atención al público fue el canal más utilizado por los clientes y/o usuarios, </w:t>
      </w:r>
      <w:r w:rsidR="00BF7DD9">
        <w:rPr>
          <w:rFonts w:ascii="Arial" w:hAnsi="Arial" w:cs="Arial"/>
          <w:sz w:val="22"/>
          <w:szCs w:val="22"/>
        </w:rPr>
        <w:t xml:space="preserve">en ellas se realizaron </w:t>
      </w:r>
      <w:r w:rsidR="00DC3F1A">
        <w:rPr>
          <w:rFonts w:ascii="Arial" w:hAnsi="Arial" w:cs="Arial"/>
          <w:sz w:val="22"/>
          <w:szCs w:val="22"/>
        </w:rPr>
        <w:t>4</w:t>
      </w:r>
      <w:r w:rsidR="00710727" w:rsidRPr="00D14A21">
        <w:rPr>
          <w:rFonts w:ascii="Arial" w:hAnsi="Arial" w:cs="Arial"/>
          <w:sz w:val="22"/>
          <w:szCs w:val="22"/>
        </w:rPr>
        <w:t>.</w:t>
      </w:r>
      <w:r w:rsidR="001E1F44">
        <w:rPr>
          <w:rFonts w:ascii="Arial" w:hAnsi="Arial" w:cs="Arial"/>
          <w:sz w:val="22"/>
          <w:szCs w:val="22"/>
        </w:rPr>
        <w:t>823</w:t>
      </w:r>
      <w:r w:rsidR="00275394" w:rsidRPr="00D14A21">
        <w:rPr>
          <w:rFonts w:ascii="Arial" w:hAnsi="Arial" w:cs="Arial"/>
          <w:sz w:val="22"/>
          <w:szCs w:val="22"/>
        </w:rPr>
        <w:t>.</w:t>
      </w:r>
      <w:r w:rsidR="001E1F44">
        <w:rPr>
          <w:rFonts w:ascii="Arial" w:hAnsi="Arial" w:cs="Arial"/>
          <w:sz w:val="22"/>
          <w:szCs w:val="22"/>
        </w:rPr>
        <w:t>250</w:t>
      </w:r>
      <w:r w:rsidRPr="00D14A21">
        <w:rPr>
          <w:rFonts w:ascii="Arial" w:hAnsi="Arial" w:cs="Arial"/>
          <w:sz w:val="22"/>
          <w:szCs w:val="22"/>
        </w:rPr>
        <w:t xml:space="preserve"> operaciones monetarias por $</w:t>
      </w:r>
      <w:r w:rsidR="001E1F44">
        <w:rPr>
          <w:rFonts w:ascii="Arial" w:hAnsi="Arial" w:cs="Arial"/>
          <w:sz w:val="22"/>
          <w:szCs w:val="22"/>
        </w:rPr>
        <w:t>4</w:t>
      </w:r>
      <w:r w:rsidR="00BF7DD9">
        <w:rPr>
          <w:rFonts w:ascii="Arial" w:hAnsi="Arial" w:cs="Arial"/>
          <w:sz w:val="22"/>
          <w:szCs w:val="22"/>
        </w:rPr>
        <w:t>,</w:t>
      </w:r>
      <w:r w:rsidR="001E1F44">
        <w:rPr>
          <w:rFonts w:ascii="Arial" w:hAnsi="Arial" w:cs="Arial"/>
          <w:sz w:val="22"/>
          <w:szCs w:val="22"/>
        </w:rPr>
        <w:t>1</w:t>
      </w:r>
      <w:r w:rsidR="00275394" w:rsidRPr="00D14A21">
        <w:rPr>
          <w:rFonts w:ascii="Arial" w:hAnsi="Arial" w:cs="Arial"/>
          <w:sz w:val="22"/>
          <w:szCs w:val="22"/>
        </w:rPr>
        <w:t xml:space="preserve"> </w:t>
      </w:r>
      <w:r w:rsidRPr="00D14A21">
        <w:rPr>
          <w:rFonts w:ascii="Arial" w:hAnsi="Arial" w:cs="Arial"/>
          <w:sz w:val="22"/>
          <w:szCs w:val="22"/>
        </w:rPr>
        <w:t>billones</w:t>
      </w:r>
      <w:r w:rsidR="00CB1DAE">
        <w:rPr>
          <w:rFonts w:ascii="Arial" w:hAnsi="Arial" w:cs="Arial"/>
          <w:sz w:val="22"/>
          <w:szCs w:val="22"/>
        </w:rPr>
        <w:t xml:space="preserve"> de pesos</w:t>
      </w:r>
      <w:r w:rsidRPr="00D14A21">
        <w:rPr>
          <w:rFonts w:ascii="Arial" w:hAnsi="Arial" w:cs="Arial"/>
          <w:sz w:val="22"/>
          <w:szCs w:val="22"/>
        </w:rPr>
        <w:t>.</w:t>
      </w:r>
    </w:p>
    <w:p w:rsidR="00CB0B31" w:rsidRPr="00E10CA7" w:rsidRDefault="0085118A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701"/>
        <w:gridCol w:w="1701"/>
        <w:gridCol w:w="1559"/>
      </w:tblGrid>
      <w:tr w:rsidR="00CE3418" w:rsidRPr="00CE3418" w:rsidTr="00D9166E">
        <w:trPr>
          <w:trHeight w:val="735"/>
          <w:tblHeader/>
        </w:trPr>
        <w:tc>
          <w:tcPr>
            <w:tcW w:w="2425" w:type="dxa"/>
            <w:shd w:val="clear" w:color="auto" w:fill="31849B" w:themeFill="accent5" w:themeFillShade="BF"/>
            <w:vAlign w:val="center"/>
            <w:hideMark/>
          </w:tcPr>
          <w:p w:rsidR="00CE3418" w:rsidRPr="00CE3418" w:rsidRDefault="00CE3418" w:rsidP="00CE34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174" w:name="_Toc207594856"/>
            <w:bookmarkStart w:id="175" w:name="_Toc208614968"/>
            <w:bookmarkStart w:id="176" w:name="_Toc208620259"/>
            <w:bookmarkStart w:id="177" w:name="_Toc208936079"/>
            <w:bookmarkStart w:id="178" w:name="_Toc208936253"/>
            <w:bookmarkStart w:id="179" w:name="_Toc208936343"/>
            <w:bookmarkStart w:id="180" w:name="_Toc208936387"/>
            <w:bookmarkStart w:id="181" w:name="_Toc209150995"/>
            <w:bookmarkStart w:id="182" w:name="_Toc210206817"/>
            <w:r w:rsidRPr="00CE34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CE3418" w:rsidRPr="00CE3418" w:rsidRDefault="00CE34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34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CE3418" w:rsidRPr="00CE3418" w:rsidRDefault="00CE34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34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CE3418" w:rsidRPr="00CE3418" w:rsidRDefault="00CE34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34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CE3418" w:rsidRPr="00CE3418" w:rsidRDefault="00CE34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341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Oficinas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4.823.250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121.723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4.944.973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4.162.214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Pagos Automáticos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561.809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561.809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422.193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Cajeros Automáticos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556.177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84.545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640.722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124.486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Internet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319.402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237.176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556.578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268.963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Datáfonos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212.611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89.364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301.975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47.257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Corresponsales Bancarios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85.421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85.421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8.536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ACH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71.471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71.471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427.603</w:t>
            </w:r>
          </w:p>
        </w:tc>
      </w:tr>
      <w:tr w:rsidR="001E1F44" w:rsidRPr="00CE3418" w:rsidTr="00600722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Audio Respuesta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62.171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62.171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E1F44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</w:tr>
      <w:tr w:rsidR="001E1F44" w:rsidRPr="00CE3418" w:rsidTr="00D9166E">
        <w:trPr>
          <w:trHeight w:val="397"/>
        </w:trPr>
        <w:tc>
          <w:tcPr>
            <w:tcW w:w="2425" w:type="dxa"/>
            <w:shd w:val="clear" w:color="auto" w:fill="31849B" w:themeFill="accent5" w:themeFillShade="BF"/>
            <w:vAlign w:val="center"/>
            <w:hideMark/>
          </w:tcPr>
          <w:p w:rsidR="001E1F44" w:rsidRPr="001E1F44" w:rsidRDefault="001E1F44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E1F4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Total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E1F4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6.630.141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E1F4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594.979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1E1F4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7.225.120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1E1F44" w:rsidRPr="001E1F44" w:rsidRDefault="001E1F4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1E1F44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5.461.252</w:t>
            </w:r>
          </w:p>
        </w:tc>
      </w:tr>
    </w:tbl>
    <w:p w:rsidR="00C729D0" w:rsidRPr="00AB71D0" w:rsidRDefault="00C729D0" w:rsidP="00770FBA">
      <w:pPr>
        <w:rPr>
          <w:rFonts w:ascii="Arial" w:hAnsi="Arial" w:cs="Arial"/>
          <w:sz w:val="22"/>
        </w:rPr>
      </w:pPr>
    </w:p>
    <w:p w:rsidR="00CB0B31" w:rsidRPr="00BC08BA" w:rsidRDefault="00CB0B31" w:rsidP="00770FBA">
      <w:pPr>
        <w:rPr>
          <w:rFonts w:ascii="Arial" w:hAnsi="Arial" w:cs="Arial"/>
          <w:b/>
        </w:rPr>
      </w:pPr>
      <w:r w:rsidRPr="00BC08BA">
        <w:rPr>
          <w:rFonts w:ascii="Arial" w:hAnsi="Arial" w:cs="Arial"/>
          <w:b/>
        </w:rPr>
        <w:t>Detalle de Operaciones por Entidad</w:t>
      </w:r>
    </w:p>
    <w:p w:rsidR="00CB0B31" w:rsidRPr="00E10CA7" w:rsidRDefault="00B2788B" w:rsidP="006B266D">
      <w:pPr>
        <w:ind w:left="5664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80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1418"/>
        <w:gridCol w:w="1275"/>
        <w:gridCol w:w="1418"/>
      </w:tblGrid>
      <w:tr w:rsidR="000500B2" w:rsidTr="001F05CF">
        <w:trPr>
          <w:trHeight w:val="737"/>
          <w:tblHeader/>
        </w:trPr>
        <w:tc>
          <w:tcPr>
            <w:tcW w:w="582" w:type="dxa"/>
            <w:shd w:val="clear" w:color="auto" w:fill="31849B" w:themeFill="accent5" w:themeFillShade="BF"/>
            <w:vAlign w:val="center"/>
          </w:tcPr>
          <w:p w:rsidR="000500B2" w:rsidRDefault="000500B2" w:rsidP="000500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694" w:type="dxa"/>
            <w:shd w:val="clear" w:color="auto" w:fill="31849B" w:themeFill="accent5" w:themeFillShade="BF"/>
            <w:vAlign w:val="center"/>
            <w:hideMark/>
          </w:tcPr>
          <w:p w:rsidR="000500B2" w:rsidRDefault="000500B2" w:rsidP="008D57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Entidad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0500B2" w:rsidRDefault="000500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0500B2" w:rsidRDefault="000500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no Monetarias</w:t>
            </w:r>
          </w:p>
        </w:tc>
        <w:tc>
          <w:tcPr>
            <w:tcW w:w="1275" w:type="dxa"/>
            <w:shd w:val="clear" w:color="auto" w:fill="31849B" w:themeFill="accent5" w:themeFillShade="BF"/>
            <w:vAlign w:val="center"/>
            <w:hideMark/>
          </w:tcPr>
          <w:p w:rsidR="000500B2" w:rsidRDefault="000500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0500B2" w:rsidRDefault="000500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33580A" w:rsidTr="005D3250">
        <w:trPr>
          <w:trHeight w:val="283"/>
        </w:trPr>
        <w:tc>
          <w:tcPr>
            <w:tcW w:w="582" w:type="dxa"/>
            <w:vAlign w:val="center"/>
          </w:tcPr>
          <w:p w:rsidR="0033580A" w:rsidRPr="00D159A5" w:rsidRDefault="0033580A" w:rsidP="000500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Cotrafa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2.397.413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104.631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2.502.044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1.099.889</w:t>
            </w:r>
          </w:p>
        </w:tc>
      </w:tr>
      <w:tr w:rsidR="0033580A" w:rsidTr="005D3250">
        <w:trPr>
          <w:trHeight w:val="283"/>
        </w:trPr>
        <w:tc>
          <w:tcPr>
            <w:tcW w:w="582" w:type="dxa"/>
            <w:vAlign w:val="center"/>
          </w:tcPr>
          <w:p w:rsidR="0033580A" w:rsidRPr="00D159A5" w:rsidRDefault="0033580A" w:rsidP="000500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Confiar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2.280.369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352.872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2.633.241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2.262.718</w:t>
            </w:r>
          </w:p>
        </w:tc>
      </w:tr>
      <w:tr w:rsidR="0033580A" w:rsidTr="005D3250">
        <w:trPr>
          <w:trHeight w:val="283"/>
        </w:trPr>
        <w:tc>
          <w:tcPr>
            <w:tcW w:w="582" w:type="dxa"/>
            <w:vAlign w:val="center"/>
          </w:tcPr>
          <w:p w:rsidR="0033580A" w:rsidRPr="00D159A5" w:rsidRDefault="0033580A" w:rsidP="000500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580A" w:rsidRPr="0033580A" w:rsidRDefault="0033580A" w:rsidP="0033580A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JFK</w:t>
            </w: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 xml:space="preserve">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1.233.963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46.579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1.280.542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919.613</w:t>
            </w:r>
          </w:p>
        </w:tc>
      </w:tr>
      <w:tr w:rsidR="0033580A" w:rsidTr="005D3250">
        <w:trPr>
          <w:trHeight w:val="283"/>
        </w:trPr>
        <w:tc>
          <w:tcPr>
            <w:tcW w:w="582" w:type="dxa"/>
            <w:vAlign w:val="center"/>
          </w:tcPr>
          <w:p w:rsidR="0033580A" w:rsidRPr="00D159A5" w:rsidRDefault="0033580A" w:rsidP="000500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Cooperativa Financiera de Antioquia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513.401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50.235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563.636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864.432</w:t>
            </w:r>
          </w:p>
        </w:tc>
      </w:tr>
      <w:tr w:rsidR="0033580A" w:rsidTr="005D3250">
        <w:trPr>
          <w:trHeight w:val="283"/>
        </w:trPr>
        <w:tc>
          <w:tcPr>
            <w:tcW w:w="582" w:type="dxa"/>
            <w:vAlign w:val="center"/>
          </w:tcPr>
          <w:p w:rsidR="0033580A" w:rsidRPr="00D159A5" w:rsidRDefault="0033580A" w:rsidP="000500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Coofinep Cooperativa Financiera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204.995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40.662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245.657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580A">
              <w:rPr>
                <w:rFonts w:ascii="Arial" w:hAnsi="Arial" w:cs="Arial"/>
                <w:color w:val="000000"/>
                <w:sz w:val="18"/>
                <w:szCs w:val="22"/>
              </w:rPr>
              <w:t>314.600</w:t>
            </w:r>
          </w:p>
        </w:tc>
      </w:tr>
      <w:tr w:rsidR="0033580A" w:rsidTr="001F05CF">
        <w:trPr>
          <w:trHeight w:val="283"/>
        </w:trPr>
        <w:tc>
          <w:tcPr>
            <w:tcW w:w="3276" w:type="dxa"/>
            <w:gridSpan w:val="2"/>
            <w:shd w:val="clear" w:color="auto" w:fill="31849B" w:themeFill="accent5" w:themeFillShade="BF"/>
            <w:vAlign w:val="center"/>
          </w:tcPr>
          <w:p w:rsidR="0033580A" w:rsidRPr="00D159A5" w:rsidRDefault="0033580A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D159A5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33580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6.630.141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33580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594.979</w:t>
            </w:r>
          </w:p>
        </w:tc>
        <w:tc>
          <w:tcPr>
            <w:tcW w:w="1275" w:type="dxa"/>
            <w:shd w:val="clear" w:color="auto" w:fill="31849B" w:themeFill="accent5" w:themeFillShade="BF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33580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7.225.120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33580A" w:rsidRPr="0033580A" w:rsidRDefault="0033580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33580A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5.461.252</w:t>
            </w:r>
          </w:p>
        </w:tc>
      </w:tr>
    </w:tbl>
    <w:p w:rsidR="00205560" w:rsidRDefault="00205560" w:rsidP="00205560">
      <w:pPr>
        <w:pStyle w:val="Ttulo1"/>
        <w:spacing w:before="0" w:after="0"/>
        <w:ind w:left="567"/>
        <w:rPr>
          <w:sz w:val="24"/>
          <w:szCs w:val="24"/>
        </w:rPr>
      </w:pPr>
      <w:bookmarkStart w:id="183" w:name="_Toc207594857"/>
      <w:bookmarkStart w:id="184" w:name="_Toc208614969"/>
      <w:bookmarkStart w:id="185" w:name="_Toc208620260"/>
      <w:bookmarkStart w:id="186" w:name="_Toc208936080"/>
      <w:bookmarkStart w:id="187" w:name="_Toc208936254"/>
      <w:bookmarkStart w:id="188" w:name="_Toc208936344"/>
      <w:bookmarkStart w:id="189" w:name="_Toc208936388"/>
      <w:bookmarkStart w:id="190" w:name="_Toc209150996"/>
      <w:bookmarkStart w:id="191" w:name="_Toc210206818"/>
      <w:bookmarkStart w:id="192" w:name="_Toc256582627"/>
      <w:bookmarkStart w:id="193" w:name="_Toc413319470"/>
      <w:bookmarkStart w:id="194" w:name="_Toc413319769"/>
      <w:bookmarkStart w:id="195" w:name="_Toc413320325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CB0B31" w:rsidRPr="009E2F86" w:rsidRDefault="00CB0B31" w:rsidP="00E83EC1">
      <w:pPr>
        <w:pStyle w:val="Ttulo1"/>
        <w:numPr>
          <w:ilvl w:val="1"/>
          <w:numId w:val="6"/>
        </w:numPr>
        <w:spacing w:before="0" w:after="0"/>
        <w:ind w:left="567" w:hanging="567"/>
        <w:rPr>
          <w:sz w:val="24"/>
          <w:szCs w:val="24"/>
        </w:rPr>
      </w:pPr>
      <w:bookmarkStart w:id="196" w:name="_Toc491787021"/>
      <w:r>
        <w:rPr>
          <w:sz w:val="24"/>
          <w:szCs w:val="24"/>
        </w:rPr>
        <w:t>Administradoras de Sistemas de Pago de Bajo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sz w:val="24"/>
          <w:szCs w:val="24"/>
        </w:rPr>
        <w:t xml:space="preserve"> Valor</w:t>
      </w:r>
      <w:bookmarkEnd w:id="192"/>
      <w:r w:rsidR="00F64AB8" w:rsidRPr="00805A63">
        <w:rPr>
          <w:rStyle w:val="Ref1"/>
          <w:rFonts w:cs="Arial"/>
          <w:bCs w:val="0"/>
          <w:sz w:val="18"/>
          <w:szCs w:val="18"/>
          <w:lang w:val="es-ES_tradnl" w:eastAsia="es-ES_tradnl"/>
        </w:rPr>
        <w:footnoteReference w:id="2"/>
      </w:r>
      <w:bookmarkEnd w:id="193"/>
      <w:bookmarkEnd w:id="194"/>
      <w:bookmarkEnd w:id="195"/>
      <w:bookmarkEnd w:id="196"/>
    </w:p>
    <w:p w:rsidR="0075563F" w:rsidRDefault="0075563F" w:rsidP="00770FBA">
      <w:pPr>
        <w:jc w:val="both"/>
        <w:rPr>
          <w:rFonts w:ascii="Arial" w:hAnsi="Arial" w:cs="Arial"/>
        </w:rPr>
      </w:pPr>
    </w:p>
    <w:p w:rsidR="00CB0B31" w:rsidRPr="004A41BC" w:rsidRDefault="00CB0B31" w:rsidP="00770FBA">
      <w:pPr>
        <w:jc w:val="both"/>
        <w:rPr>
          <w:rFonts w:ascii="Arial" w:hAnsi="Arial" w:cs="Arial"/>
          <w:sz w:val="22"/>
          <w:szCs w:val="22"/>
        </w:rPr>
      </w:pPr>
      <w:r w:rsidRPr="004A41BC">
        <w:rPr>
          <w:rFonts w:ascii="Arial" w:hAnsi="Arial" w:cs="Arial"/>
          <w:sz w:val="22"/>
          <w:szCs w:val="22"/>
        </w:rPr>
        <w:t xml:space="preserve">Las administradoras de sistemas de pago de bajo valor </w:t>
      </w:r>
      <w:r w:rsidRPr="00407D6B">
        <w:rPr>
          <w:rFonts w:ascii="Arial" w:hAnsi="Arial" w:cs="Arial"/>
          <w:b/>
          <w:sz w:val="22"/>
          <w:szCs w:val="22"/>
        </w:rPr>
        <w:t>(</w:t>
      </w:r>
      <w:r w:rsidR="00D519F1" w:rsidRPr="00407D6B">
        <w:rPr>
          <w:rFonts w:ascii="Arial" w:hAnsi="Arial" w:cs="Arial"/>
          <w:b/>
          <w:sz w:val="22"/>
          <w:szCs w:val="22"/>
        </w:rPr>
        <w:t>ACH Colombia</w:t>
      </w:r>
      <w:r w:rsidR="00D519F1">
        <w:rPr>
          <w:rFonts w:ascii="Arial" w:hAnsi="Arial" w:cs="Arial"/>
          <w:b/>
          <w:sz w:val="22"/>
          <w:szCs w:val="22"/>
        </w:rPr>
        <w:t xml:space="preserve">, </w:t>
      </w:r>
      <w:r w:rsidR="00D519F1" w:rsidRPr="00407D6B">
        <w:rPr>
          <w:rFonts w:ascii="Arial" w:hAnsi="Arial" w:cs="Arial"/>
          <w:b/>
          <w:sz w:val="22"/>
          <w:szCs w:val="22"/>
        </w:rPr>
        <w:t>ATH</w:t>
      </w:r>
      <w:r w:rsidR="00D519F1">
        <w:rPr>
          <w:rFonts w:ascii="Arial" w:hAnsi="Arial" w:cs="Arial"/>
          <w:b/>
          <w:sz w:val="22"/>
          <w:szCs w:val="22"/>
        </w:rPr>
        <w:t xml:space="preserve">, </w:t>
      </w:r>
      <w:r w:rsidR="00D519F1" w:rsidRPr="00407D6B">
        <w:rPr>
          <w:rFonts w:ascii="Arial" w:hAnsi="Arial" w:cs="Arial"/>
          <w:b/>
          <w:sz w:val="22"/>
          <w:szCs w:val="22"/>
        </w:rPr>
        <w:t>Credibanco</w:t>
      </w:r>
      <w:r w:rsidR="00D519F1">
        <w:rPr>
          <w:rFonts w:ascii="Arial" w:hAnsi="Arial" w:cs="Arial"/>
          <w:b/>
          <w:sz w:val="22"/>
          <w:szCs w:val="22"/>
        </w:rPr>
        <w:t xml:space="preserve">, </w:t>
      </w:r>
      <w:r w:rsidR="00D519F1" w:rsidRPr="00407D6B">
        <w:rPr>
          <w:rFonts w:ascii="Arial" w:hAnsi="Arial" w:cs="Arial"/>
          <w:b/>
          <w:sz w:val="22"/>
          <w:szCs w:val="22"/>
        </w:rPr>
        <w:t>Redeban Multicolor</w:t>
      </w:r>
      <w:r w:rsidR="00D519F1">
        <w:rPr>
          <w:rFonts w:ascii="Arial" w:hAnsi="Arial" w:cs="Arial"/>
          <w:b/>
          <w:sz w:val="22"/>
          <w:szCs w:val="22"/>
        </w:rPr>
        <w:t xml:space="preserve">, </w:t>
      </w:r>
      <w:r w:rsidR="00014253" w:rsidRPr="00407D6B">
        <w:rPr>
          <w:rFonts w:ascii="Arial" w:hAnsi="Arial" w:cs="Arial"/>
          <w:b/>
          <w:sz w:val="22"/>
          <w:szCs w:val="22"/>
        </w:rPr>
        <w:t>Servibanca</w:t>
      </w:r>
      <w:r w:rsidR="0009141B">
        <w:rPr>
          <w:rFonts w:ascii="Arial" w:hAnsi="Arial" w:cs="Arial"/>
          <w:b/>
          <w:sz w:val="22"/>
          <w:szCs w:val="22"/>
        </w:rPr>
        <w:t>, Assenda Red</w:t>
      </w:r>
      <w:r w:rsidR="000A684D">
        <w:rPr>
          <w:rFonts w:ascii="Arial" w:hAnsi="Arial" w:cs="Arial"/>
          <w:b/>
          <w:sz w:val="22"/>
          <w:szCs w:val="22"/>
        </w:rPr>
        <w:t xml:space="preserve"> </w:t>
      </w:r>
      <w:r w:rsidRPr="00407D6B">
        <w:rPr>
          <w:rFonts w:ascii="Arial" w:hAnsi="Arial" w:cs="Arial"/>
          <w:b/>
          <w:sz w:val="22"/>
          <w:szCs w:val="22"/>
        </w:rPr>
        <w:t>y Visionamos)</w:t>
      </w:r>
      <w:r w:rsidR="00275394">
        <w:rPr>
          <w:rFonts w:ascii="Arial" w:hAnsi="Arial" w:cs="Arial"/>
          <w:b/>
          <w:sz w:val="22"/>
          <w:szCs w:val="22"/>
        </w:rPr>
        <w:t xml:space="preserve"> </w:t>
      </w:r>
      <w:r w:rsidRPr="004A41BC">
        <w:rPr>
          <w:rFonts w:ascii="Arial" w:hAnsi="Arial" w:cs="Arial"/>
          <w:sz w:val="22"/>
          <w:szCs w:val="22"/>
        </w:rPr>
        <w:t xml:space="preserve">reportaron </w:t>
      </w:r>
      <w:r w:rsidR="00A645BC" w:rsidRPr="00A645BC">
        <w:rPr>
          <w:rFonts w:ascii="Arial" w:hAnsi="Arial" w:cs="Arial"/>
          <w:sz w:val="22"/>
          <w:szCs w:val="22"/>
        </w:rPr>
        <w:t>532.965.236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Pr="004A41BC">
        <w:rPr>
          <w:rFonts w:ascii="Arial" w:hAnsi="Arial" w:cs="Arial"/>
          <w:bCs/>
          <w:sz w:val="22"/>
          <w:szCs w:val="22"/>
        </w:rPr>
        <w:t>operaciones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A645BC" w:rsidRPr="00A645BC">
        <w:rPr>
          <w:rFonts w:ascii="Arial" w:hAnsi="Arial" w:cs="Arial"/>
          <w:bCs/>
          <w:sz w:val="22"/>
          <w:szCs w:val="22"/>
        </w:rPr>
        <w:t>507.959.563</w:t>
      </w:r>
      <w:r>
        <w:rPr>
          <w:rFonts w:ascii="Arial" w:hAnsi="Arial" w:cs="Arial"/>
          <w:sz w:val="22"/>
          <w:szCs w:val="22"/>
        </w:rPr>
        <w:t xml:space="preserve"> monetarias</w:t>
      </w:r>
      <w:r w:rsidRPr="004A41BC">
        <w:rPr>
          <w:rFonts w:ascii="Arial" w:hAnsi="Arial" w:cs="Arial"/>
          <w:sz w:val="22"/>
          <w:szCs w:val="22"/>
        </w:rPr>
        <w:t xml:space="preserve"> por</w:t>
      </w:r>
      <w:r>
        <w:rPr>
          <w:rFonts w:ascii="Arial" w:hAnsi="Arial" w:cs="Arial"/>
          <w:sz w:val="22"/>
          <w:szCs w:val="22"/>
        </w:rPr>
        <w:t xml:space="preserve"> </w:t>
      </w:r>
      <w:r w:rsidRPr="004A41BC">
        <w:rPr>
          <w:rFonts w:ascii="Arial" w:hAnsi="Arial" w:cs="Arial"/>
          <w:sz w:val="22"/>
          <w:szCs w:val="22"/>
        </w:rPr>
        <w:t>$</w:t>
      </w:r>
      <w:r w:rsidR="00A645BC">
        <w:rPr>
          <w:rFonts w:ascii="Arial" w:hAnsi="Arial" w:cs="Arial"/>
          <w:sz w:val="22"/>
          <w:szCs w:val="22"/>
        </w:rPr>
        <w:t>475,9</w:t>
      </w:r>
      <w:r w:rsidR="00275394" w:rsidRPr="00A8793E">
        <w:rPr>
          <w:rFonts w:ascii="Arial" w:hAnsi="Arial" w:cs="Arial"/>
          <w:sz w:val="22"/>
          <w:szCs w:val="22"/>
        </w:rPr>
        <w:t xml:space="preserve"> b</w:t>
      </w:r>
      <w:r w:rsidRPr="00A8793E">
        <w:rPr>
          <w:rFonts w:ascii="Arial" w:hAnsi="Arial" w:cs="Arial"/>
          <w:sz w:val="22"/>
          <w:szCs w:val="22"/>
        </w:rPr>
        <w:t>illones</w:t>
      </w:r>
      <w:r w:rsidR="00580FF1">
        <w:rPr>
          <w:rFonts w:ascii="Arial" w:hAnsi="Arial" w:cs="Arial"/>
          <w:sz w:val="22"/>
          <w:szCs w:val="22"/>
        </w:rPr>
        <w:t xml:space="preserve"> de pesos</w:t>
      </w:r>
      <w:r>
        <w:rPr>
          <w:rFonts w:ascii="Arial" w:hAnsi="Arial" w:cs="Arial"/>
          <w:sz w:val="22"/>
          <w:szCs w:val="22"/>
        </w:rPr>
        <w:t xml:space="preserve"> y </w:t>
      </w:r>
      <w:r w:rsidR="0014386D">
        <w:rPr>
          <w:rFonts w:ascii="Arial" w:hAnsi="Arial" w:cs="Arial"/>
          <w:sz w:val="22"/>
          <w:szCs w:val="22"/>
        </w:rPr>
        <w:t>2</w:t>
      </w:r>
      <w:r w:rsidR="00895AD4">
        <w:rPr>
          <w:rFonts w:ascii="Arial" w:hAnsi="Arial" w:cs="Arial"/>
          <w:sz w:val="22"/>
          <w:szCs w:val="22"/>
        </w:rPr>
        <w:t>5</w:t>
      </w:r>
      <w:r w:rsidR="00F14E88">
        <w:rPr>
          <w:rFonts w:ascii="Arial" w:hAnsi="Arial" w:cs="Arial"/>
          <w:sz w:val="22"/>
          <w:szCs w:val="22"/>
        </w:rPr>
        <w:t>.</w:t>
      </w:r>
      <w:r w:rsidR="00A645BC">
        <w:rPr>
          <w:rFonts w:ascii="Arial" w:hAnsi="Arial" w:cs="Arial"/>
          <w:sz w:val="22"/>
          <w:szCs w:val="22"/>
        </w:rPr>
        <w:t>005</w:t>
      </w:r>
      <w:r w:rsidR="00F14E88">
        <w:rPr>
          <w:rFonts w:ascii="Arial" w:hAnsi="Arial" w:cs="Arial"/>
          <w:sz w:val="22"/>
          <w:szCs w:val="22"/>
        </w:rPr>
        <w:t>.</w:t>
      </w:r>
      <w:r w:rsidR="00A645BC">
        <w:rPr>
          <w:rFonts w:ascii="Arial" w:hAnsi="Arial" w:cs="Arial"/>
          <w:sz w:val="22"/>
          <w:szCs w:val="22"/>
        </w:rPr>
        <w:t>673</w:t>
      </w:r>
      <w:r w:rsidRPr="004A4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monetarias.</w:t>
      </w:r>
    </w:p>
    <w:p w:rsidR="00CB0B31" w:rsidRDefault="00CB0B31" w:rsidP="0075563F">
      <w:pPr>
        <w:rPr>
          <w:rFonts w:ascii="Arial" w:hAnsi="Arial" w:cs="Arial"/>
          <w:b/>
          <w:sz w:val="16"/>
          <w:szCs w:val="16"/>
        </w:rPr>
      </w:pPr>
    </w:p>
    <w:p w:rsidR="0037514F" w:rsidRDefault="00CB0B31" w:rsidP="003C2353">
      <w:pPr>
        <w:jc w:val="both"/>
        <w:rPr>
          <w:rFonts w:ascii="Arial" w:hAnsi="Arial" w:cs="Arial"/>
          <w:sz w:val="22"/>
          <w:szCs w:val="22"/>
        </w:rPr>
      </w:pPr>
      <w:r w:rsidRPr="0075577D">
        <w:rPr>
          <w:rFonts w:ascii="Arial" w:hAnsi="Arial" w:cs="Arial"/>
          <w:sz w:val="22"/>
          <w:szCs w:val="22"/>
        </w:rPr>
        <w:t xml:space="preserve">El mayor número de </w:t>
      </w:r>
      <w:r>
        <w:rPr>
          <w:rFonts w:ascii="Arial" w:hAnsi="Arial" w:cs="Arial"/>
          <w:sz w:val="22"/>
          <w:szCs w:val="22"/>
        </w:rPr>
        <w:t>operaciones monetarias</w:t>
      </w:r>
      <w:r w:rsidRPr="0075577D">
        <w:rPr>
          <w:rFonts w:ascii="Arial" w:hAnsi="Arial" w:cs="Arial"/>
          <w:sz w:val="22"/>
          <w:szCs w:val="22"/>
        </w:rPr>
        <w:t xml:space="preserve"> se realizó </w:t>
      </w:r>
      <w:r>
        <w:rPr>
          <w:rFonts w:ascii="Arial" w:hAnsi="Arial" w:cs="Arial"/>
          <w:sz w:val="22"/>
          <w:szCs w:val="22"/>
        </w:rPr>
        <w:t xml:space="preserve">en datáfonos, </w:t>
      </w:r>
      <w:r w:rsidR="00A645BC">
        <w:rPr>
          <w:rFonts w:ascii="Arial" w:hAnsi="Arial" w:cs="Arial"/>
          <w:sz w:val="22"/>
          <w:szCs w:val="22"/>
        </w:rPr>
        <w:t>313</w:t>
      </w:r>
      <w:r w:rsidR="00F14E88" w:rsidRPr="00CE5259">
        <w:rPr>
          <w:rFonts w:ascii="Arial" w:hAnsi="Arial" w:cs="Arial"/>
          <w:sz w:val="22"/>
          <w:szCs w:val="22"/>
        </w:rPr>
        <w:t>.</w:t>
      </w:r>
      <w:r w:rsidR="00A645BC">
        <w:rPr>
          <w:rFonts w:ascii="Arial" w:hAnsi="Arial" w:cs="Arial"/>
          <w:sz w:val="22"/>
          <w:szCs w:val="22"/>
        </w:rPr>
        <w:t>145</w:t>
      </w:r>
      <w:r w:rsidR="00F14E88" w:rsidRPr="00CE5259">
        <w:rPr>
          <w:rFonts w:ascii="Arial" w:hAnsi="Arial" w:cs="Arial"/>
          <w:sz w:val="22"/>
          <w:szCs w:val="22"/>
        </w:rPr>
        <w:t>.</w:t>
      </w:r>
      <w:r w:rsidR="00A645BC">
        <w:rPr>
          <w:rFonts w:ascii="Arial" w:hAnsi="Arial" w:cs="Arial"/>
          <w:sz w:val="22"/>
          <w:szCs w:val="22"/>
        </w:rPr>
        <w:t>073</w:t>
      </w:r>
      <w:r w:rsidRPr="00CE5259">
        <w:rPr>
          <w:rFonts w:ascii="Arial" w:hAnsi="Arial" w:cs="Arial"/>
          <w:sz w:val="22"/>
          <w:szCs w:val="22"/>
        </w:rPr>
        <w:t xml:space="preserve"> </w:t>
      </w:r>
      <w:r w:rsidRPr="0075577D">
        <w:rPr>
          <w:rFonts w:ascii="Arial" w:hAnsi="Arial" w:cs="Arial"/>
          <w:sz w:val="22"/>
          <w:szCs w:val="22"/>
        </w:rPr>
        <w:t xml:space="preserve">por </w:t>
      </w:r>
      <w:r>
        <w:rPr>
          <w:rFonts w:ascii="Arial" w:hAnsi="Arial" w:cs="Arial"/>
          <w:sz w:val="22"/>
          <w:szCs w:val="22"/>
        </w:rPr>
        <w:t xml:space="preserve"> </w:t>
      </w:r>
      <w:r w:rsidRPr="0075577D">
        <w:rPr>
          <w:rFonts w:ascii="Arial" w:hAnsi="Arial" w:cs="Arial"/>
          <w:sz w:val="22"/>
          <w:szCs w:val="22"/>
        </w:rPr>
        <w:t>$</w:t>
      </w:r>
      <w:r w:rsidR="00A645BC">
        <w:rPr>
          <w:rFonts w:ascii="Arial" w:hAnsi="Arial" w:cs="Arial"/>
          <w:sz w:val="22"/>
          <w:szCs w:val="22"/>
        </w:rPr>
        <w:t>56</w:t>
      </w:r>
      <w:r w:rsidR="00F14E88">
        <w:rPr>
          <w:rFonts w:ascii="Arial" w:hAnsi="Arial" w:cs="Arial"/>
          <w:sz w:val="22"/>
          <w:szCs w:val="22"/>
        </w:rPr>
        <w:t>,</w:t>
      </w:r>
      <w:r w:rsidR="00A645BC">
        <w:rPr>
          <w:rFonts w:ascii="Arial" w:hAnsi="Arial" w:cs="Arial"/>
          <w:sz w:val="22"/>
          <w:szCs w:val="22"/>
        </w:rPr>
        <w:t>5</w:t>
      </w:r>
      <w:r w:rsidR="001C38EF">
        <w:rPr>
          <w:rFonts w:ascii="Arial" w:hAnsi="Arial" w:cs="Arial"/>
          <w:sz w:val="22"/>
          <w:szCs w:val="22"/>
        </w:rPr>
        <w:t xml:space="preserve"> </w:t>
      </w:r>
      <w:r w:rsidRPr="0075577D">
        <w:rPr>
          <w:rFonts w:ascii="Arial" w:hAnsi="Arial" w:cs="Arial"/>
          <w:sz w:val="22"/>
          <w:szCs w:val="22"/>
        </w:rPr>
        <w:t>billones</w:t>
      </w:r>
      <w:r w:rsidR="008E01EB">
        <w:rPr>
          <w:rFonts w:ascii="Arial" w:hAnsi="Arial" w:cs="Arial"/>
          <w:sz w:val="22"/>
          <w:szCs w:val="22"/>
        </w:rPr>
        <w:t xml:space="preserve"> de pesos</w:t>
      </w:r>
      <w:r w:rsidRPr="0075577D">
        <w:rPr>
          <w:rFonts w:ascii="Arial" w:hAnsi="Arial" w:cs="Arial"/>
          <w:sz w:val="22"/>
          <w:szCs w:val="22"/>
        </w:rPr>
        <w:t>.</w:t>
      </w:r>
      <w:r w:rsidR="001C38EF">
        <w:rPr>
          <w:rFonts w:ascii="Arial" w:hAnsi="Arial" w:cs="Arial"/>
          <w:sz w:val="22"/>
          <w:szCs w:val="22"/>
        </w:rPr>
        <w:t xml:space="preserve"> </w:t>
      </w:r>
    </w:p>
    <w:p w:rsidR="003C2353" w:rsidRDefault="003C2353" w:rsidP="003C2353">
      <w:pPr>
        <w:jc w:val="both"/>
        <w:rPr>
          <w:rFonts w:ascii="Arial" w:hAnsi="Arial" w:cs="Arial"/>
          <w:b/>
          <w:sz w:val="16"/>
          <w:szCs w:val="16"/>
        </w:rPr>
      </w:pPr>
    </w:p>
    <w:p w:rsidR="00CB0B31" w:rsidRPr="00E10CA7" w:rsidRDefault="00580FF1" w:rsidP="00895AD4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CB0B31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66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1559"/>
        <w:gridCol w:w="1560"/>
        <w:gridCol w:w="1417"/>
      </w:tblGrid>
      <w:tr w:rsidR="00580FF1" w:rsidTr="00D9166E">
        <w:trPr>
          <w:trHeight w:val="680"/>
        </w:trPr>
        <w:tc>
          <w:tcPr>
            <w:tcW w:w="2425" w:type="dxa"/>
            <w:shd w:val="clear" w:color="auto" w:fill="31849B" w:themeFill="accent5" w:themeFillShade="BF"/>
            <w:vAlign w:val="center"/>
            <w:hideMark/>
          </w:tcPr>
          <w:p w:rsidR="00580FF1" w:rsidRDefault="00580FF1" w:rsidP="00580F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Canal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580FF1" w:rsidRDefault="00580F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de Operaciones Monetarias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580FF1" w:rsidRDefault="00580FF1" w:rsidP="00FE362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Número de Operaciones </w:t>
            </w:r>
            <w:r w:rsidR="00FE362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 Monetarias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580FF1" w:rsidRDefault="00580F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Número Total de Operaciones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580FF1" w:rsidRDefault="00580F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Monto de Operaciones </w:t>
            </w:r>
          </w:p>
        </w:tc>
      </w:tr>
      <w:tr w:rsidR="00A645BC" w:rsidTr="00B7782A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Datáfonos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313.145.073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15.244.224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328.389.297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56.558.093</w:t>
            </w:r>
          </w:p>
        </w:tc>
      </w:tr>
      <w:tr w:rsidR="00A645BC" w:rsidTr="00B7782A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Pagos Automáticos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99.714.052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99.714.052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394.083.915</w:t>
            </w:r>
          </w:p>
        </w:tc>
      </w:tr>
      <w:tr w:rsidR="00A645BC" w:rsidTr="00B7782A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Cajeros Automáticos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87.807.920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9.724.363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97.532.283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24.821.831</w:t>
            </w:r>
          </w:p>
        </w:tc>
      </w:tr>
      <w:tr w:rsidR="00A645BC" w:rsidTr="00B7782A">
        <w:trPr>
          <w:trHeight w:val="283"/>
        </w:trPr>
        <w:tc>
          <w:tcPr>
            <w:tcW w:w="2425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Audio Respuesta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7.292.518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37.086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7.329.604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645BC">
              <w:rPr>
                <w:rFonts w:ascii="Arial" w:hAnsi="Arial" w:cs="Arial"/>
                <w:color w:val="000000"/>
                <w:sz w:val="18"/>
                <w:szCs w:val="22"/>
              </w:rPr>
              <w:t>449.017</w:t>
            </w:r>
          </w:p>
        </w:tc>
      </w:tr>
      <w:tr w:rsidR="00A645BC" w:rsidTr="001F05CF">
        <w:trPr>
          <w:trHeight w:val="283"/>
        </w:trPr>
        <w:tc>
          <w:tcPr>
            <w:tcW w:w="2425" w:type="dxa"/>
            <w:shd w:val="clear" w:color="auto" w:fill="31849B" w:themeFill="accent5" w:themeFillShade="BF"/>
            <w:vAlign w:val="center"/>
            <w:hideMark/>
          </w:tcPr>
          <w:p w:rsidR="00A645BC" w:rsidRPr="00A8793E" w:rsidRDefault="00A645BC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A645BC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507.959.563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A645BC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25.005.673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A645BC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532.965.236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A645BC" w:rsidRPr="00A645BC" w:rsidRDefault="00A645BC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A645BC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475.912.856</w:t>
            </w:r>
          </w:p>
        </w:tc>
      </w:tr>
    </w:tbl>
    <w:p w:rsidR="00CB0B31" w:rsidRPr="0049151E" w:rsidRDefault="00CB0B31" w:rsidP="00770FBA">
      <w:pPr>
        <w:jc w:val="both"/>
        <w:rPr>
          <w:rFonts w:ascii="Arial" w:hAnsi="Arial" w:cs="Arial"/>
          <w:szCs w:val="16"/>
        </w:rPr>
      </w:pPr>
    </w:p>
    <w:p w:rsidR="00027BDE" w:rsidRPr="00BC08BA" w:rsidRDefault="00027BDE" w:rsidP="00027BDE">
      <w:pPr>
        <w:rPr>
          <w:rFonts w:ascii="Arial" w:hAnsi="Arial" w:cs="Arial"/>
          <w:b/>
        </w:rPr>
      </w:pPr>
      <w:r w:rsidRPr="00BC08BA">
        <w:rPr>
          <w:rFonts w:ascii="Arial" w:hAnsi="Arial" w:cs="Arial"/>
          <w:b/>
        </w:rPr>
        <w:t>Detalle de Operaciones por Entidad</w:t>
      </w:r>
    </w:p>
    <w:p w:rsidR="00027BDE" w:rsidRPr="00E10CA7" w:rsidRDefault="00BD3C95" w:rsidP="001E3A89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Montos</w:t>
      </w:r>
      <w:r w:rsidR="00027BDE" w:rsidRPr="00E10CA7">
        <w:rPr>
          <w:rFonts w:ascii="Arial" w:hAnsi="Arial" w:cs="Arial"/>
          <w:b/>
          <w:sz w:val="16"/>
          <w:szCs w:val="16"/>
        </w:rPr>
        <w:t xml:space="preserve"> en millones de pesos</w:t>
      </w:r>
    </w:p>
    <w:tbl>
      <w:tblPr>
        <w:tblW w:w="866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1418"/>
        <w:gridCol w:w="1559"/>
        <w:gridCol w:w="1559"/>
      </w:tblGrid>
      <w:tr w:rsidR="005364A1" w:rsidRPr="00BD3C95" w:rsidTr="00D9166E">
        <w:trPr>
          <w:trHeight w:val="283"/>
          <w:tblHeader/>
        </w:trPr>
        <w:tc>
          <w:tcPr>
            <w:tcW w:w="582" w:type="dxa"/>
            <w:shd w:val="clear" w:color="auto" w:fill="31849B" w:themeFill="accent5" w:themeFillShade="BF"/>
            <w:vAlign w:val="center"/>
          </w:tcPr>
          <w:p w:rsidR="005364A1" w:rsidRPr="00BD3C95" w:rsidRDefault="005364A1" w:rsidP="005364A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N°</w:t>
            </w:r>
          </w:p>
        </w:tc>
        <w:tc>
          <w:tcPr>
            <w:tcW w:w="2127" w:type="dxa"/>
            <w:shd w:val="clear" w:color="auto" w:fill="31849B" w:themeFill="accent5" w:themeFillShade="BF"/>
            <w:vAlign w:val="center"/>
            <w:hideMark/>
          </w:tcPr>
          <w:p w:rsidR="005364A1" w:rsidRPr="00BD3C95" w:rsidRDefault="005364A1" w:rsidP="00BD3C9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BD3C95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Entidad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5364A1" w:rsidRPr="00BD3C95" w:rsidRDefault="005364A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BD3C95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Número de Operaciones Monetarias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5364A1" w:rsidRPr="00BD3C95" w:rsidRDefault="005364A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BD3C95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Número de Operaciones no Monetarias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5364A1" w:rsidRPr="00BD3C95" w:rsidRDefault="005364A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BD3C95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Número Total de Operaciones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5364A1" w:rsidRPr="00BD3C95" w:rsidRDefault="005364A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BD3C95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 xml:space="preserve">Monto de Operaciones 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Pr="0092076D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3FD7" w:rsidRPr="00F23FD7" w:rsidRDefault="00F23FD7" w:rsidP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 xml:space="preserve">Redeban Multicolor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242.583.366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9.239.328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251.822.694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43.867.458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Pr="0092076D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3FD7" w:rsidRPr="00F23FD7" w:rsidRDefault="00F23FD7" w:rsidP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 xml:space="preserve">ACH Colombia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89.169.908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89.169.908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390.547.326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Pr="0092076D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3FD7" w:rsidRPr="00F23FD7" w:rsidRDefault="00F23FD7" w:rsidP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 xml:space="preserve">Credibanco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86.442.528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5.977.016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92.419.544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15.942.418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Pr="0092076D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3FD7" w:rsidRPr="00F23FD7" w:rsidRDefault="00F23FD7" w:rsidP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 xml:space="preserve">A Toda Hora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65.768.590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7.500.629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73.269.219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20.107.073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Pr="0092076D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3FD7" w:rsidRPr="00F23FD7" w:rsidRDefault="00F23FD7" w:rsidP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ervibanca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21.620.446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2.177.372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23.797.818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4.613.562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Pr="0092076D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3FD7" w:rsidRPr="00F23FD7" w:rsidRDefault="00F23FD7" w:rsidP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 xml:space="preserve">Assenda Red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1.410.138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1.410.138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138.372</w:t>
            </w:r>
          </w:p>
        </w:tc>
      </w:tr>
      <w:tr w:rsidR="00F23FD7" w:rsidRPr="00BD3C95" w:rsidTr="00247464">
        <w:trPr>
          <w:trHeight w:val="283"/>
        </w:trPr>
        <w:tc>
          <w:tcPr>
            <w:tcW w:w="582" w:type="dxa"/>
            <w:vAlign w:val="center"/>
          </w:tcPr>
          <w:p w:rsidR="00F23FD7" w:rsidRDefault="00F23FD7" w:rsidP="005364A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3FD7" w:rsidRPr="00F23FD7" w:rsidRDefault="00F23FD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Visionamos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964.587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111.328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1.075.915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FD7" w:rsidRPr="00F23FD7" w:rsidRDefault="00F23FD7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23FD7">
              <w:rPr>
                <w:rFonts w:ascii="Arial" w:hAnsi="Arial" w:cs="Arial"/>
                <w:color w:val="000000"/>
                <w:sz w:val="18"/>
                <w:szCs w:val="22"/>
              </w:rPr>
              <w:t>696.647</w:t>
            </w:r>
          </w:p>
        </w:tc>
      </w:tr>
      <w:tr w:rsidR="00444386" w:rsidRPr="00BD3C95" w:rsidTr="001F05CF">
        <w:trPr>
          <w:trHeight w:val="283"/>
        </w:trPr>
        <w:tc>
          <w:tcPr>
            <w:tcW w:w="2709" w:type="dxa"/>
            <w:gridSpan w:val="2"/>
            <w:shd w:val="clear" w:color="auto" w:fill="31849B" w:themeFill="accent5" w:themeFillShade="BF"/>
            <w:vAlign w:val="center"/>
          </w:tcPr>
          <w:p w:rsidR="00444386" w:rsidRPr="0092076D" w:rsidRDefault="00444386" w:rsidP="00D9166E">
            <w:pP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92076D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otal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444386" w:rsidRPr="00444386" w:rsidRDefault="0044438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44438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507.959.563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  <w:hideMark/>
          </w:tcPr>
          <w:p w:rsidR="00444386" w:rsidRPr="00444386" w:rsidRDefault="0044438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44438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25.005.673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444386" w:rsidRPr="00444386" w:rsidRDefault="0044438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44438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532.965.236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  <w:hideMark/>
          </w:tcPr>
          <w:p w:rsidR="00444386" w:rsidRPr="00444386" w:rsidRDefault="00444386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$</w:t>
            </w:r>
            <w:r w:rsidRPr="00444386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475.912.856</w:t>
            </w:r>
          </w:p>
        </w:tc>
      </w:tr>
    </w:tbl>
    <w:p w:rsidR="00EC2C2B" w:rsidRPr="0049151E" w:rsidRDefault="00EC2C2B" w:rsidP="00770FBA">
      <w:pPr>
        <w:jc w:val="both"/>
        <w:rPr>
          <w:rFonts w:ascii="Arial" w:hAnsi="Arial" w:cs="Arial"/>
          <w:szCs w:val="18"/>
        </w:rPr>
      </w:pPr>
    </w:p>
    <w:p w:rsidR="00CB0B31" w:rsidRPr="009E2F86" w:rsidRDefault="00CB0B31" w:rsidP="00E83EC1">
      <w:pPr>
        <w:pStyle w:val="Ttulo1"/>
        <w:numPr>
          <w:ilvl w:val="1"/>
          <w:numId w:val="6"/>
        </w:numPr>
        <w:spacing w:before="0" w:after="0"/>
        <w:ind w:left="709" w:hanging="709"/>
        <w:rPr>
          <w:sz w:val="24"/>
          <w:szCs w:val="24"/>
        </w:rPr>
      </w:pPr>
      <w:bookmarkStart w:id="197" w:name="_Toc207594858"/>
      <w:bookmarkStart w:id="198" w:name="_Toc208614970"/>
      <w:bookmarkStart w:id="199" w:name="_Toc208620261"/>
      <w:bookmarkStart w:id="200" w:name="_Toc208936081"/>
      <w:bookmarkStart w:id="201" w:name="_Toc208936255"/>
      <w:bookmarkStart w:id="202" w:name="_Toc208936345"/>
      <w:bookmarkStart w:id="203" w:name="_Toc208936389"/>
      <w:bookmarkStart w:id="204" w:name="_Toc209150997"/>
      <w:bookmarkStart w:id="205" w:name="_Toc210206819"/>
      <w:bookmarkStart w:id="206" w:name="_Toc256582628"/>
      <w:bookmarkStart w:id="207" w:name="_Toc413319471"/>
      <w:bookmarkStart w:id="208" w:name="_Toc413319770"/>
      <w:bookmarkStart w:id="209" w:name="_Toc413320326"/>
      <w:bookmarkStart w:id="210" w:name="_Toc491787022"/>
      <w:r>
        <w:rPr>
          <w:sz w:val="24"/>
          <w:szCs w:val="24"/>
        </w:rPr>
        <w:t>Banco de la República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CB0B31" w:rsidRDefault="00CB0B31" w:rsidP="00770FBA">
      <w:pPr>
        <w:jc w:val="both"/>
        <w:rPr>
          <w:rFonts w:ascii="Arial" w:hAnsi="Arial" w:cs="Arial"/>
        </w:rPr>
      </w:pPr>
    </w:p>
    <w:p w:rsidR="00727D55" w:rsidRPr="0049151E" w:rsidRDefault="00CB0B31" w:rsidP="003F4CA4">
      <w:pPr>
        <w:jc w:val="both"/>
        <w:rPr>
          <w:rFonts w:ascii="Arial" w:hAnsi="Arial" w:cs="Arial"/>
          <w:szCs w:val="22"/>
        </w:rPr>
      </w:pPr>
      <w:r w:rsidRPr="0075577D">
        <w:rPr>
          <w:rFonts w:ascii="Arial" w:hAnsi="Arial" w:cs="Arial"/>
          <w:sz w:val="22"/>
          <w:szCs w:val="22"/>
        </w:rPr>
        <w:t xml:space="preserve">El Banco de la República reportó </w:t>
      </w:r>
      <w:r w:rsidR="00BC19CC" w:rsidRPr="00BC19CC">
        <w:rPr>
          <w:rFonts w:ascii="Arial" w:hAnsi="Arial" w:cs="Arial"/>
          <w:sz w:val="22"/>
          <w:szCs w:val="22"/>
        </w:rPr>
        <w:t>5</w:t>
      </w:r>
      <w:r w:rsidR="00BC19CC">
        <w:rPr>
          <w:rFonts w:ascii="Arial" w:hAnsi="Arial" w:cs="Arial"/>
          <w:sz w:val="22"/>
          <w:szCs w:val="22"/>
        </w:rPr>
        <w:t>.</w:t>
      </w:r>
      <w:r w:rsidR="009E656E">
        <w:rPr>
          <w:rFonts w:ascii="Arial" w:hAnsi="Arial" w:cs="Arial"/>
          <w:sz w:val="22"/>
          <w:szCs w:val="22"/>
        </w:rPr>
        <w:t>359</w:t>
      </w:r>
      <w:r w:rsidR="00BC19CC">
        <w:rPr>
          <w:rFonts w:ascii="Arial" w:hAnsi="Arial" w:cs="Arial"/>
          <w:sz w:val="22"/>
          <w:szCs w:val="22"/>
        </w:rPr>
        <w:t>.</w:t>
      </w:r>
      <w:r w:rsidR="009E656E">
        <w:rPr>
          <w:rFonts w:ascii="Arial" w:hAnsi="Arial" w:cs="Arial"/>
          <w:sz w:val="22"/>
          <w:szCs w:val="22"/>
        </w:rPr>
        <w:t xml:space="preserve">865 </w:t>
      </w:r>
      <w:r>
        <w:rPr>
          <w:rFonts w:ascii="Arial" w:hAnsi="Arial" w:cs="Arial"/>
          <w:sz w:val="22"/>
          <w:szCs w:val="22"/>
        </w:rPr>
        <w:t>operaciones monetarias</w:t>
      </w:r>
      <w:r w:rsidRPr="0075577D">
        <w:rPr>
          <w:rFonts w:ascii="Arial" w:hAnsi="Arial" w:cs="Arial"/>
          <w:sz w:val="22"/>
          <w:szCs w:val="22"/>
        </w:rPr>
        <w:t xml:space="preserve"> realizadas por el canal</w:t>
      </w:r>
      <w:r w:rsidRPr="006F3947">
        <w:rPr>
          <w:rFonts w:ascii="Arial" w:hAnsi="Arial" w:cs="Arial"/>
          <w:sz w:val="22"/>
          <w:szCs w:val="22"/>
        </w:rPr>
        <w:t xml:space="preserve"> ACH</w:t>
      </w:r>
      <w:r w:rsidRPr="00AC0A28">
        <w:rPr>
          <w:rFonts w:ascii="Arial" w:hAnsi="Arial" w:cs="Arial"/>
          <w:sz w:val="22"/>
          <w:szCs w:val="22"/>
        </w:rPr>
        <w:t>, po</w:t>
      </w:r>
      <w:r w:rsidRPr="0075577D">
        <w:rPr>
          <w:rFonts w:ascii="Arial" w:hAnsi="Arial" w:cs="Arial"/>
          <w:sz w:val="22"/>
          <w:szCs w:val="22"/>
        </w:rPr>
        <w:t>r $</w:t>
      </w:r>
      <w:r w:rsidR="009E656E">
        <w:rPr>
          <w:rFonts w:ascii="Arial" w:hAnsi="Arial" w:cs="Arial"/>
          <w:sz w:val="22"/>
          <w:szCs w:val="22"/>
        </w:rPr>
        <w:t>92</w:t>
      </w:r>
      <w:r w:rsidR="003E4D69">
        <w:rPr>
          <w:rFonts w:ascii="Arial" w:hAnsi="Arial" w:cs="Arial"/>
          <w:sz w:val="22"/>
          <w:szCs w:val="22"/>
        </w:rPr>
        <w:t>,</w:t>
      </w:r>
      <w:r w:rsidR="009E656E">
        <w:rPr>
          <w:rFonts w:ascii="Arial" w:hAnsi="Arial" w:cs="Arial"/>
          <w:sz w:val="22"/>
          <w:szCs w:val="22"/>
        </w:rPr>
        <w:t>5</w:t>
      </w:r>
      <w:r w:rsidR="00CB0BD5">
        <w:rPr>
          <w:rFonts w:ascii="Arial" w:hAnsi="Arial" w:cs="Arial"/>
          <w:sz w:val="22"/>
          <w:szCs w:val="22"/>
        </w:rPr>
        <w:t xml:space="preserve"> </w:t>
      </w:r>
      <w:r w:rsidRPr="0075577D">
        <w:rPr>
          <w:rFonts w:ascii="Arial" w:hAnsi="Arial" w:cs="Arial"/>
          <w:sz w:val="22"/>
          <w:szCs w:val="22"/>
        </w:rPr>
        <w:t>billones</w:t>
      </w:r>
      <w:r w:rsidR="00464CC5">
        <w:rPr>
          <w:rFonts w:ascii="Arial" w:hAnsi="Arial" w:cs="Arial"/>
          <w:sz w:val="22"/>
          <w:szCs w:val="22"/>
        </w:rPr>
        <w:t xml:space="preserve"> de pesos</w:t>
      </w:r>
      <w:r w:rsidRPr="0075577D">
        <w:rPr>
          <w:rFonts w:ascii="Arial" w:hAnsi="Arial" w:cs="Arial"/>
          <w:sz w:val="22"/>
          <w:szCs w:val="22"/>
        </w:rPr>
        <w:t>.</w:t>
      </w:r>
    </w:p>
    <w:sectPr w:rsidR="00727D55" w:rsidRPr="0049151E" w:rsidSect="00D7766A">
      <w:headerReference w:type="default" r:id="rId14"/>
      <w:footerReference w:type="even" r:id="rId15"/>
      <w:footerReference w:type="default" r:id="rId16"/>
      <w:footerReference w:type="first" r:id="rId17"/>
      <w:footnotePr>
        <w:pos w:val="beneathText"/>
      </w:footnotePr>
      <w:pgSz w:w="12242" w:h="15842" w:code="1"/>
      <w:pgMar w:top="1985" w:right="132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95" w:rsidRDefault="00C17F95" w:rsidP="008510BE">
      <w:r>
        <w:separator/>
      </w:r>
    </w:p>
  </w:endnote>
  <w:endnote w:type="continuationSeparator" w:id="0">
    <w:p w:rsidR="00C17F95" w:rsidRDefault="00C17F95" w:rsidP="0085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D3" w:rsidRDefault="007D36D3" w:rsidP="008E17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36D3" w:rsidRDefault="007D36D3" w:rsidP="00F74F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D3" w:rsidRPr="00296517" w:rsidRDefault="007D36D3" w:rsidP="009B58A4">
    <w:pPr>
      <w:pStyle w:val="Piedepgina"/>
      <w:tabs>
        <w:tab w:val="clear" w:pos="4252"/>
        <w:tab w:val="clear" w:pos="8504"/>
        <w:tab w:val="left" w:pos="7200"/>
      </w:tabs>
      <w:ind w:right="360"/>
      <w:jc w:val="right"/>
      <w:rPr>
        <w:rFonts w:ascii="Arial" w:hAnsi="Arial" w:cs="Arial"/>
        <w:sz w:val="18"/>
        <w:szCs w:val="22"/>
      </w:rPr>
    </w:pPr>
    <w:r w:rsidRPr="00296517">
      <w:rPr>
        <w:rFonts w:ascii="Arial" w:hAnsi="Arial" w:cs="Arial"/>
        <w:sz w:val="18"/>
        <w:szCs w:val="22"/>
      </w:rPr>
      <w:fldChar w:fldCharType="begin"/>
    </w:r>
    <w:r w:rsidRPr="00296517">
      <w:rPr>
        <w:rFonts w:ascii="Arial" w:hAnsi="Arial" w:cs="Arial"/>
        <w:sz w:val="18"/>
        <w:szCs w:val="22"/>
      </w:rPr>
      <w:instrText>PAGE   \* MERGEFORMAT</w:instrText>
    </w:r>
    <w:r w:rsidRPr="00296517">
      <w:rPr>
        <w:rFonts w:ascii="Arial" w:hAnsi="Arial" w:cs="Arial"/>
        <w:sz w:val="18"/>
        <w:szCs w:val="22"/>
      </w:rPr>
      <w:fldChar w:fldCharType="separate"/>
    </w:r>
    <w:r w:rsidR="00B4556C">
      <w:rPr>
        <w:rFonts w:ascii="Arial" w:hAnsi="Arial" w:cs="Arial"/>
        <w:noProof/>
        <w:sz w:val="18"/>
        <w:szCs w:val="22"/>
      </w:rPr>
      <w:t>6</w:t>
    </w:r>
    <w:r w:rsidRPr="00296517">
      <w:rPr>
        <w:rFonts w:ascii="Arial" w:hAnsi="Arial" w:cs="Arial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D3" w:rsidRPr="009B58A4" w:rsidRDefault="007D36D3" w:rsidP="009B58A4">
    <w:pPr>
      <w:pStyle w:val="Piedepgina"/>
      <w:jc w:val="right"/>
      <w:rPr>
        <w:rFonts w:ascii="Arial" w:hAnsi="Arial" w:cs="Arial"/>
        <w:sz w:val="22"/>
        <w:szCs w:val="22"/>
      </w:rPr>
    </w:pPr>
  </w:p>
  <w:p w:rsidR="007D36D3" w:rsidRDefault="007D3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95" w:rsidRDefault="00C17F95" w:rsidP="008510BE">
      <w:r>
        <w:separator/>
      </w:r>
    </w:p>
  </w:footnote>
  <w:footnote w:type="continuationSeparator" w:id="0">
    <w:p w:rsidR="00C17F95" w:rsidRDefault="00C17F95" w:rsidP="008510BE">
      <w:r>
        <w:continuationSeparator/>
      </w:r>
    </w:p>
  </w:footnote>
  <w:footnote w:id="1">
    <w:p w:rsidR="007D36D3" w:rsidRDefault="007D36D3">
      <w:pPr>
        <w:pStyle w:val="Textonotapie"/>
        <w:rPr>
          <w:rFonts w:ascii="Arial" w:hAnsi="Arial" w:cs="Arial"/>
          <w:b/>
          <w:sz w:val="18"/>
        </w:rPr>
      </w:pPr>
      <w:r w:rsidRPr="005D3552">
        <w:rPr>
          <w:rStyle w:val="Refdenotaalpie"/>
          <w:rFonts w:ascii="Arial" w:hAnsi="Arial" w:cs="Arial"/>
          <w:b/>
          <w:sz w:val="18"/>
        </w:rPr>
        <w:footnoteRef/>
      </w:r>
      <w:r w:rsidRPr="005D3552">
        <w:rPr>
          <w:rFonts w:ascii="Arial" w:hAnsi="Arial" w:cs="Arial"/>
          <w:b/>
          <w:sz w:val="18"/>
        </w:rPr>
        <w:t xml:space="preserve"> MPO = monto de las operaciones por canal / número de operaciones por canal.</w:t>
      </w:r>
    </w:p>
    <w:p w:rsidR="007D36D3" w:rsidRPr="005D3552" w:rsidRDefault="007D36D3">
      <w:pPr>
        <w:pStyle w:val="Textonotapie"/>
        <w:rPr>
          <w:rFonts w:ascii="Arial" w:hAnsi="Arial" w:cs="Arial"/>
          <w:b/>
        </w:rPr>
      </w:pPr>
    </w:p>
  </w:footnote>
  <w:footnote w:id="2">
    <w:p w:rsidR="007D36D3" w:rsidRPr="00AA6438" w:rsidRDefault="007D36D3" w:rsidP="00F64AB8">
      <w:pPr>
        <w:pStyle w:val="Textonotapie"/>
        <w:jc w:val="both"/>
        <w:rPr>
          <w:b/>
        </w:rPr>
      </w:pPr>
      <w:r w:rsidRPr="00AA6438">
        <w:rPr>
          <w:rStyle w:val="Ref1"/>
          <w:rFonts w:ascii="Arial" w:hAnsi="Arial" w:cs="Arial"/>
          <w:b/>
        </w:rPr>
        <w:footnoteRef/>
      </w:r>
      <w:r w:rsidRPr="00AA6438">
        <w:rPr>
          <w:rFonts w:ascii="Arial" w:hAnsi="Arial" w:cs="Arial"/>
          <w:b/>
          <w:sz w:val="16"/>
          <w:szCs w:val="16"/>
        </w:rPr>
        <w:t xml:space="preserve">Las operaciones realizadas a través de las Administradoras de Sistemas de Pago de Bajo Valor están consideradas dentro de las entidades financieras para las cuales se hicieron. </w:t>
      </w:r>
      <w:r>
        <w:rPr>
          <w:rFonts w:ascii="Arial" w:hAnsi="Arial" w:cs="Arial"/>
          <w:b/>
          <w:sz w:val="16"/>
          <w:szCs w:val="16"/>
        </w:rPr>
        <w:t xml:space="preserve">Aquí </w:t>
      </w:r>
      <w:r w:rsidRPr="00AA6438">
        <w:rPr>
          <w:rFonts w:ascii="Arial" w:hAnsi="Arial" w:cs="Arial"/>
          <w:b/>
          <w:sz w:val="16"/>
          <w:szCs w:val="16"/>
        </w:rPr>
        <w:t>se observa su participación en el sistema financiero.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D3" w:rsidRDefault="00B4556C" w:rsidP="00FD3A4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332105</wp:posOffset>
          </wp:positionH>
          <wp:positionV relativeFrom="margin">
            <wp:posOffset>-1085792</wp:posOffset>
          </wp:positionV>
          <wp:extent cx="7109652" cy="741219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-Informe-1sem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652" cy="74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077"/>
    <w:multiLevelType w:val="multilevel"/>
    <w:tmpl w:val="43A21878"/>
    <w:styleLink w:val="Estilo5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E425B"/>
    <w:multiLevelType w:val="multilevel"/>
    <w:tmpl w:val="23283CC2"/>
    <w:styleLink w:val="Estilo1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A6283"/>
    <w:multiLevelType w:val="multilevel"/>
    <w:tmpl w:val="C308C17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none"/>
      <w:lvlText w:val="6.4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9A6483"/>
    <w:multiLevelType w:val="hybridMultilevel"/>
    <w:tmpl w:val="5E007C6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52E"/>
    <w:multiLevelType w:val="multilevel"/>
    <w:tmpl w:val="232EE0EC"/>
    <w:numStyleLink w:val="Estilo3"/>
  </w:abstractNum>
  <w:abstractNum w:abstractNumId="5" w15:restartNumberingAfterBreak="0">
    <w:nsid w:val="0E515E34"/>
    <w:multiLevelType w:val="multilevel"/>
    <w:tmpl w:val="D6D088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AE6F7F"/>
    <w:multiLevelType w:val="multilevel"/>
    <w:tmpl w:val="232EE0EC"/>
    <w:numStyleLink w:val="Estilo3"/>
  </w:abstractNum>
  <w:abstractNum w:abstractNumId="7" w15:restartNumberingAfterBreak="0">
    <w:nsid w:val="1A3A4D48"/>
    <w:multiLevelType w:val="multilevel"/>
    <w:tmpl w:val="240A001D"/>
    <w:styleLink w:val="Estilo8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0A5630"/>
    <w:multiLevelType w:val="multilevel"/>
    <w:tmpl w:val="AF049F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0951A3"/>
    <w:multiLevelType w:val="multilevel"/>
    <w:tmpl w:val="CFC67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22063"/>
    <w:multiLevelType w:val="multilevel"/>
    <w:tmpl w:val="27623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B2023A"/>
    <w:multiLevelType w:val="multilevel"/>
    <w:tmpl w:val="2F509F94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561FE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C02D71"/>
    <w:multiLevelType w:val="multilevel"/>
    <w:tmpl w:val="74ECF1E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73024D"/>
    <w:multiLevelType w:val="multilevel"/>
    <w:tmpl w:val="203E48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8.9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87384A"/>
    <w:multiLevelType w:val="multilevel"/>
    <w:tmpl w:val="4DBA5D44"/>
    <w:styleLink w:val="Estilo7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8.5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52996"/>
    <w:multiLevelType w:val="multilevel"/>
    <w:tmpl w:val="232EE0EC"/>
    <w:styleLink w:val="Estilo3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7B19B9"/>
    <w:multiLevelType w:val="multilevel"/>
    <w:tmpl w:val="23283CC2"/>
    <w:numStyleLink w:val="Estilo1"/>
  </w:abstractNum>
  <w:abstractNum w:abstractNumId="18" w15:restartNumberingAfterBreak="0">
    <w:nsid w:val="57830F30"/>
    <w:multiLevelType w:val="multilevel"/>
    <w:tmpl w:val="75E0AFC6"/>
    <w:styleLink w:val="Estilo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A64576"/>
    <w:multiLevelType w:val="multilevel"/>
    <w:tmpl w:val="232EE0EC"/>
    <w:styleLink w:val="Estilo2"/>
    <w:lvl w:ilvl="0">
      <w:start w:val="3"/>
      <w:numFmt w:val="decimal"/>
      <w:lvlText w:val="%1."/>
      <w:lvlJc w:val="left"/>
      <w:pPr>
        <w:ind w:left="390" w:hanging="39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261B6C"/>
    <w:multiLevelType w:val="multilevel"/>
    <w:tmpl w:val="7252552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A51BBA"/>
    <w:multiLevelType w:val="multilevel"/>
    <w:tmpl w:val="23283CC2"/>
    <w:styleLink w:val="Estilo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DA2D23"/>
    <w:multiLevelType w:val="multilevel"/>
    <w:tmpl w:val="7E2CE7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BF0E48"/>
    <w:multiLevelType w:val="multilevel"/>
    <w:tmpl w:val="03C8763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3"/>
  </w:num>
  <w:num w:numId="7">
    <w:abstractNumId w:val="1"/>
  </w:num>
  <w:num w:numId="8">
    <w:abstractNumId w:val="19"/>
  </w:num>
  <w:num w:numId="9">
    <w:abstractNumId w:val="16"/>
  </w:num>
  <w:num w:numId="10">
    <w:abstractNumId w:val="9"/>
  </w:num>
  <w:num w:numId="11">
    <w:abstractNumId w:val="21"/>
  </w:num>
  <w:num w:numId="12">
    <w:abstractNumId w:val="0"/>
  </w:num>
  <w:num w:numId="13">
    <w:abstractNumId w:val="20"/>
  </w:num>
  <w:num w:numId="14">
    <w:abstractNumId w:val="18"/>
  </w:num>
  <w:num w:numId="15">
    <w:abstractNumId w:val="2"/>
  </w:num>
  <w:num w:numId="16">
    <w:abstractNumId w:val="15"/>
  </w:num>
  <w:num w:numId="17">
    <w:abstractNumId w:val="14"/>
  </w:num>
  <w:num w:numId="18">
    <w:abstractNumId w:val="7"/>
  </w:num>
  <w:num w:numId="19">
    <w:abstractNumId w:val="13"/>
  </w:num>
  <w:num w:numId="20">
    <w:abstractNumId w:val="8"/>
  </w:num>
  <w:num w:numId="21">
    <w:abstractNumId w:val="22"/>
  </w:num>
  <w:num w:numId="22">
    <w:abstractNumId w:val="5"/>
  </w:num>
  <w:num w:numId="23">
    <w:abstractNumId w:val="11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4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none"/>
        <w:lvlText w:val="8.7."/>
        <w:lvlJc w:val="left"/>
        <w:pPr>
          <w:ind w:left="720" w:hanging="72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14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ind w:left="72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6">
    <w:abstractNumId w:val="14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none"/>
        <w:lvlText w:val="8.8."/>
        <w:lvlJc w:val="left"/>
        <w:pPr>
          <w:ind w:left="720" w:hanging="72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7">
    <w:abstractNumId w:val="2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2"/>
        <w:numFmt w:val="none"/>
        <w:lvlText w:val="8.5."/>
        <w:lvlJc w:val="left"/>
        <w:pPr>
          <w:ind w:left="720" w:hanging="72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8">
    <w:abstractNumId w:val="12"/>
  </w:num>
  <w:num w:numId="29">
    <w:abstractNumId w:val="17"/>
  </w:num>
  <w:num w:numId="30">
    <w:abstractNumId w:val="11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2"/>
        <w:numFmt w:val="none"/>
        <w:lvlText w:val="6.5."/>
        <w:lvlJc w:val="left"/>
        <w:pPr>
          <w:ind w:left="72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32">
    <w:abstractNumId w:val="14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ind w:left="72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33">
    <w:abstractNumId w:val="14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ind w:left="720" w:hanging="72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34">
    <w:abstractNumId w:val="14"/>
    <w:lvlOverride w:ilvl="0">
      <w:lvl w:ilvl="0">
        <w:start w:val="8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ind w:left="720" w:hanging="72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3"/>
    <w:rsid w:val="000006ED"/>
    <w:rsid w:val="00000954"/>
    <w:rsid w:val="00000E33"/>
    <w:rsid w:val="0000196A"/>
    <w:rsid w:val="00002020"/>
    <w:rsid w:val="000022E0"/>
    <w:rsid w:val="000023C0"/>
    <w:rsid w:val="000032D6"/>
    <w:rsid w:val="000037D5"/>
    <w:rsid w:val="00003D7D"/>
    <w:rsid w:val="0000412E"/>
    <w:rsid w:val="000041BE"/>
    <w:rsid w:val="000052E8"/>
    <w:rsid w:val="0000542E"/>
    <w:rsid w:val="00005FD1"/>
    <w:rsid w:val="00006263"/>
    <w:rsid w:val="00006545"/>
    <w:rsid w:val="00007070"/>
    <w:rsid w:val="000073D0"/>
    <w:rsid w:val="00007F0D"/>
    <w:rsid w:val="000103CC"/>
    <w:rsid w:val="00010997"/>
    <w:rsid w:val="00011046"/>
    <w:rsid w:val="00011DE7"/>
    <w:rsid w:val="00011E5D"/>
    <w:rsid w:val="00011F04"/>
    <w:rsid w:val="00012229"/>
    <w:rsid w:val="00013564"/>
    <w:rsid w:val="000139D0"/>
    <w:rsid w:val="00013CEE"/>
    <w:rsid w:val="00013F57"/>
    <w:rsid w:val="00014142"/>
    <w:rsid w:val="00014253"/>
    <w:rsid w:val="00014DFF"/>
    <w:rsid w:val="00015ECB"/>
    <w:rsid w:val="00016293"/>
    <w:rsid w:val="00016A81"/>
    <w:rsid w:val="00016E6A"/>
    <w:rsid w:val="000175E9"/>
    <w:rsid w:val="00020DAE"/>
    <w:rsid w:val="00021CA1"/>
    <w:rsid w:val="00021EFD"/>
    <w:rsid w:val="0002213E"/>
    <w:rsid w:val="00022392"/>
    <w:rsid w:val="000241A2"/>
    <w:rsid w:val="00024663"/>
    <w:rsid w:val="0002473A"/>
    <w:rsid w:val="00024E1A"/>
    <w:rsid w:val="00024F27"/>
    <w:rsid w:val="00025485"/>
    <w:rsid w:val="000255F6"/>
    <w:rsid w:val="000268EF"/>
    <w:rsid w:val="00026F3F"/>
    <w:rsid w:val="00027066"/>
    <w:rsid w:val="00027488"/>
    <w:rsid w:val="000275F2"/>
    <w:rsid w:val="000275F4"/>
    <w:rsid w:val="00027BDE"/>
    <w:rsid w:val="00027CE4"/>
    <w:rsid w:val="000301E5"/>
    <w:rsid w:val="000310E4"/>
    <w:rsid w:val="000312B4"/>
    <w:rsid w:val="000322E7"/>
    <w:rsid w:val="00033051"/>
    <w:rsid w:val="000330C0"/>
    <w:rsid w:val="0003356B"/>
    <w:rsid w:val="00033735"/>
    <w:rsid w:val="00033A9B"/>
    <w:rsid w:val="00033F8D"/>
    <w:rsid w:val="00034394"/>
    <w:rsid w:val="00034842"/>
    <w:rsid w:val="0003493B"/>
    <w:rsid w:val="00035248"/>
    <w:rsid w:val="0003529A"/>
    <w:rsid w:val="00035585"/>
    <w:rsid w:val="00035A35"/>
    <w:rsid w:val="00035D11"/>
    <w:rsid w:val="00035D64"/>
    <w:rsid w:val="0003607E"/>
    <w:rsid w:val="00037606"/>
    <w:rsid w:val="00037C76"/>
    <w:rsid w:val="00037D51"/>
    <w:rsid w:val="00037F2A"/>
    <w:rsid w:val="00040405"/>
    <w:rsid w:val="00041C1B"/>
    <w:rsid w:val="00041D0F"/>
    <w:rsid w:val="00042513"/>
    <w:rsid w:val="000427F9"/>
    <w:rsid w:val="00042FB2"/>
    <w:rsid w:val="0004389F"/>
    <w:rsid w:val="00043E69"/>
    <w:rsid w:val="0004419E"/>
    <w:rsid w:val="0004471D"/>
    <w:rsid w:val="00045226"/>
    <w:rsid w:val="00045450"/>
    <w:rsid w:val="000455FF"/>
    <w:rsid w:val="00045B56"/>
    <w:rsid w:val="00045DD5"/>
    <w:rsid w:val="000471DE"/>
    <w:rsid w:val="000472E3"/>
    <w:rsid w:val="0004757E"/>
    <w:rsid w:val="000500B2"/>
    <w:rsid w:val="000503E7"/>
    <w:rsid w:val="000507AB"/>
    <w:rsid w:val="00050C70"/>
    <w:rsid w:val="00050FCA"/>
    <w:rsid w:val="000512C5"/>
    <w:rsid w:val="000513C8"/>
    <w:rsid w:val="00051A94"/>
    <w:rsid w:val="00051FD6"/>
    <w:rsid w:val="00052847"/>
    <w:rsid w:val="00054733"/>
    <w:rsid w:val="00056F51"/>
    <w:rsid w:val="00060704"/>
    <w:rsid w:val="00060764"/>
    <w:rsid w:val="00061124"/>
    <w:rsid w:val="0006199F"/>
    <w:rsid w:val="0006225B"/>
    <w:rsid w:val="000626B4"/>
    <w:rsid w:val="0006286D"/>
    <w:rsid w:val="00063072"/>
    <w:rsid w:val="000635CB"/>
    <w:rsid w:val="0006401D"/>
    <w:rsid w:val="00064588"/>
    <w:rsid w:val="00065313"/>
    <w:rsid w:val="0006564F"/>
    <w:rsid w:val="00065878"/>
    <w:rsid w:val="00066C56"/>
    <w:rsid w:val="00066DD6"/>
    <w:rsid w:val="0006736E"/>
    <w:rsid w:val="000679E5"/>
    <w:rsid w:val="0007130C"/>
    <w:rsid w:val="00071874"/>
    <w:rsid w:val="00071926"/>
    <w:rsid w:val="00071E1A"/>
    <w:rsid w:val="0007292F"/>
    <w:rsid w:val="00072CBE"/>
    <w:rsid w:val="00072E2F"/>
    <w:rsid w:val="00074957"/>
    <w:rsid w:val="00074F4F"/>
    <w:rsid w:val="00075249"/>
    <w:rsid w:val="00075C4C"/>
    <w:rsid w:val="00075E4A"/>
    <w:rsid w:val="0007604A"/>
    <w:rsid w:val="00076742"/>
    <w:rsid w:val="00076CFF"/>
    <w:rsid w:val="00076E4C"/>
    <w:rsid w:val="000775A2"/>
    <w:rsid w:val="000803C1"/>
    <w:rsid w:val="0008075E"/>
    <w:rsid w:val="00080AC8"/>
    <w:rsid w:val="00080BEA"/>
    <w:rsid w:val="00080C08"/>
    <w:rsid w:val="00081232"/>
    <w:rsid w:val="00081645"/>
    <w:rsid w:val="000818FA"/>
    <w:rsid w:val="00081982"/>
    <w:rsid w:val="00081D1B"/>
    <w:rsid w:val="00082119"/>
    <w:rsid w:val="00083009"/>
    <w:rsid w:val="00083370"/>
    <w:rsid w:val="000835A4"/>
    <w:rsid w:val="0008361E"/>
    <w:rsid w:val="00083FBA"/>
    <w:rsid w:val="00085C4B"/>
    <w:rsid w:val="00085FD1"/>
    <w:rsid w:val="000862E8"/>
    <w:rsid w:val="00086476"/>
    <w:rsid w:val="000868D3"/>
    <w:rsid w:val="00086AAF"/>
    <w:rsid w:val="00087155"/>
    <w:rsid w:val="000907A5"/>
    <w:rsid w:val="00090D7E"/>
    <w:rsid w:val="00091361"/>
    <w:rsid w:val="0009141B"/>
    <w:rsid w:val="00091DB7"/>
    <w:rsid w:val="00091EC6"/>
    <w:rsid w:val="000932A7"/>
    <w:rsid w:val="000939BD"/>
    <w:rsid w:val="00093B46"/>
    <w:rsid w:val="00094379"/>
    <w:rsid w:val="00094F76"/>
    <w:rsid w:val="000950CF"/>
    <w:rsid w:val="000950F1"/>
    <w:rsid w:val="00095710"/>
    <w:rsid w:val="000958CD"/>
    <w:rsid w:val="0009611A"/>
    <w:rsid w:val="00096B28"/>
    <w:rsid w:val="00096B8B"/>
    <w:rsid w:val="00096EC0"/>
    <w:rsid w:val="0009728C"/>
    <w:rsid w:val="00097DDA"/>
    <w:rsid w:val="000A0C63"/>
    <w:rsid w:val="000A121A"/>
    <w:rsid w:val="000A19F7"/>
    <w:rsid w:val="000A1C72"/>
    <w:rsid w:val="000A2107"/>
    <w:rsid w:val="000A2C9B"/>
    <w:rsid w:val="000A2DD6"/>
    <w:rsid w:val="000A3D2A"/>
    <w:rsid w:val="000A454F"/>
    <w:rsid w:val="000A5A8D"/>
    <w:rsid w:val="000A6000"/>
    <w:rsid w:val="000A684D"/>
    <w:rsid w:val="000A69D6"/>
    <w:rsid w:val="000A6B73"/>
    <w:rsid w:val="000A72D7"/>
    <w:rsid w:val="000A7557"/>
    <w:rsid w:val="000A7EE3"/>
    <w:rsid w:val="000B01E1"/>
    <w:rsid w:val="000B0D6B"/>
    <w:rsid w:val="000B1322"/>
    <w:rsid w:val="000B1887"/>
    <w:rsid w:val="000B25A1"/>
    <w:rsid w:val="000B28F0"/>
    <w:rsid w:val="000B29F2"/>
    <w:rsid w:val="000B34E5"/>
    <w:rsid w:val="000B374E"/>
    <w:rsid w:val="000B3C92"/>
    <w:rsid w:val="000B3DCD"/>
    <w:rsid w:val="000B4124"/>
    <w:rsid w:val="000B429F"/>
    <w:rsid w:val="000B48E4"/>
    <w:rsid w:val="000B4C71"/>
    <w:rsid w:val="000B5151"/>
    <w:rsid w:val="000B547F"/>
    <w:rsid w:val="000B5A45"/>
    <w:rsid w:val="000B5FB7"/>
    <w:rsid w:val="000B5FE6"/>
    <w:rsid w:val="000B65B3"/>
    <w:rsid w:val="000B6C4D"/>
    <w:rsid w:val="000B7B81"/>
    <w:rsid w:val="000C0462"/>
    <w:rsid w:val="000C0CDB"/>
    <w:rsid w:val="000C13EF"/>
    <w:rsid w:val="000C1725"/>
    <w:rsid w:val="000C1C5E"/>
    <w:rsid w:val="000C1F83"/>
    <w:rsid w:val="000C2025"/>
    <w:rsid w:val="000C2971"/>
    <w:rsid w:val="000C3F7A"/>
    <w:rsid w:val="000C4AD6"/>
    <w:rsid w:val="000C4BF7"/>
    <w:rsid w:val="000C52CD"/>
    <w:rsid w:val="000C576E"/>
    <w:rsid w:val="000C5A68"/>
    <w:rsid w:val="000C5CA1"/>
    <w:rsid w:val="000C6BE2"/>
    <w:rsid w:val="000C6ED9"/>
    <w:rsid w:val="000C7450"/>
    <w:rsid w:val="000C7A29"/>
    <w:rsid w:val="000C7EDD"/>
    <w:rsid w:val="000D4442"/>
    <w:rsid w:val="000D4845"/>
    <w:rsid w:val="000D4AF4"/>
    <w:rsid w:val="000D5F55"/>
    <w:rsid w:val="000D658E"/>
    <w:rsid w:val="000D7227"/>
    <w:rsid w:val="000D7CAB"/>
    <w:rsid w:val="000D7E10"/>
    <w:rsid w:val="000E0DF3"/>
    <w:rsid w:val="000E18F8"/>
    <w:rsid w:val="000E1BCE"/>
    <w:rsid w:val="000E1C6A"/>
    <w:rsid w:val="000E1F50"/>
    <w:rsid w:val="000E1F6B"/>
    <w:rsid w:val="000E2BE8"/>
    <w:rsid w:val="000E36EA"/>
    <w:rsid w:val="000E39A8"/>
    <w:rsid w:val="000E477E"/>
    <w:rsid w:val="000E55A3"/>
    <w:rsid w:val="000E577A"/>
    <w:rsid w:val="000E646B"/>
    <w:rsid w:val="000E6EA5"/>
    <w:rsid w:val="000E79A9"/>
    <w:rsid w:val="000E7F9D"/>
    <w:rsid w:val="000F0336"/>
    <w:rsid w:val="000F10DA"/>
    <w:rsid w:val="000F1C0A"/>
    <w:rsid w:val="000F1D0A"/>
    <w:rsid w:val="000F2276"/>
    <w:rsid w:val="000F2440"/>
    <w:rsid w:val="000F2A61"/>
    <w:rsid w:val="000F2CAF"/>
    <w:rsid w:val="000F2DC2"/>
    <w:rsid w:val="000F306D"/>
    <w:rsid w:val="000F3AED"/>
    <w:rsid w:val="000F4118"/>
    <w:rsid w:val="000F41CB"/>
    <w:rsid w:val="000F4F8C"/>
    <w:rsid w:val="000F59DC"/>
    <w:rsid w:val="000F6387"/>
    <w:rsid w:val="000F72CA"/>
    <w:rsid w:val="000F74E9"/>
    <w:rsid w:val="000F778C"/>
    <w:rsid w:val="000F7AB8"/>
    <w:rsid w:val="000F7B46"/>
    <w:rsid w:val="000F7F1B"/>
    <w:rsid w:val="0010011F"/>
    <w:rsid w:val="00100990"/>
    <w:rsid w:val="00100A97"/>
    <w:rsid w:val="00100C48"/>
    <w:rsid w:val="00100E16"/>
    <w:rsid w:val="001017B1"/>
    <w:rsid w:val="00102357"/>
    <w:rsid w:val="001028F4"/>
    <w:rsid w:val="00102DD1"/>
    <w:rsid w:val="00103A37"/>
    <w:rsid w:val="001047A4"/>
    <w:rsid w:val="00104D92"/>
    <w:rsid w:val="00104DAC"/>
    <w:rsid w:val="001054C1"/>
    <w:rsid w:val="00105AD3"/>
    <w:rsid w:val="00106CEF"/>
    <w:rsid w:val="0010795E"/>
    <w:rsid w:val="001100FF"/>
    <w:rsid w:val="00110596"/>
    <w:rsid w:val="0011071F"/>
    <w:rsid w:val="001109CE"/>
    <w:rsid w:val="00110B16"/>
    <w:rsid w:val="00110D41"/>
    <w:rsid w:val="00110D84"/>
    <w:rsid w:val="0011132F"/>
    <w:rsid w:val="00112198"/>
    <w:rsid w:val="00112224"/>
    <w:rsid w:val="0011286D"/>
    <w:rsid w:val="00113491"/>
    <w:rsid w:val="001138E8"/>
    <w:rsid w:val="00113E0F"/>
    <w:rsid w:val="00114E37"/>
    <w:rsid w:val="00114F77"/>
    <w:rsid w:val="001151FA"/>
    <w:rsid w:val="0011552F"/>
    <w:rsid w:val="001155D8"/>
    <w:rsid w:val="00116033"/>
    <w:rsid w:val="00116370"/>
    <w:rsid w:val="00116E71"/>
    <w:rsid w:val="00120644"/>
    <w:rsid w:val="00120B08"/>
    <w:rsid w:val="00121ADF"/>
    <w:rsid w:val="00121D5A"/>
    <w:rsid w:val="00122319"/>
    <w:rsid w:val="001223EF"/>
    <w:rsid w:val="00122AC4"/>
    <w:rsid w:val="00122E82"/>
    <w:rsid w:val="00123232"/>
    <w:rsid w:val="00123541"/>
    <w:rsid w:val="00123DE3"/>
    <w:rsid w:val="00124E3B"/>
    <w:rsid w:val="001250C9"/>
    <w:rsid w:val="001259CE"/>
    <w:rsid w:val="001274DC"/>
    <w:rsid w:val="00127512"/>
    <w:rsid w:val="00127960"/>
    <w:rsid w:val="00130536"/>
    <w:rsid w:val="00130B47"/>
    <w:rsid w:val="00130CFF"/>
    <w:rsid w:val="00131056"/>
    <w:rsid w:val="001312D2"/>
    <w:rsid w:val="001314D3"/>
    <w:rsid w:val="00131693"/>
    <w:rsid w:val="00131909"/>
    <w:rsid w:val="0013194E"/>
    <w:rsid w:val="001319ED"/>
    <w:rsid w:val="00131B18"/>
    <w:rsid w:val="00131B87"/>
    <w:rsid w:val="00131C45"/>
    <w:rsid w:val="00132604"/>
    <w:rsid w:val="001328F1"/>
    <w:rsid w:val="001334F1"/>
    <w:rsid w:val="00133BA2"/>
    <w:rsid w:val="00134A7E"/>
    <w:rsid w:val="00134FE4"/>
    <w:rsid w:val="0013559E"/>
    <w:rsid w:val="00135CA5"/>
    <w:rsid w:val="00136943"/>
    <w:rsid w:val="00136E71"/>
    <w:rsid w:val="00136ED6"/>
    <w:rsid w:val="00137291"/>
    <w:rsid w:val="001374F3"/>
    <w:rsid w:val="0013798F"/>
    <w:rsid w:val="00137BD0"/>
    <w:rsid w:val="00140719"/>
    <w:rsid w:val="00140AF7"/>
    <w:rsid w:val="001412E3"/>
    <w:rsid w:val="00141555"/>
    <w:rsid w:val="00141822"/>
    <w:rsid w:val="00141868"/>
    <w:rsid w:val="00141B39"/>
    <w:rsid w:val="001427C3"/>
    <w:rsid w:val="0014386D"/>
    <w:rsid w:val="0014454B"/>
    <w:rsid w:val="001472EF"/>
    <w:rsid w:val="00147C35"/>
    <w:rsid w:val="001500E1"/>
    <w:rsid w:val="00150468"/>
    <w:rsid w:val="0015085E"/>
    <w:rsid w:val="00150FED"/>
    <w:rsid w:val="00151F48"/>
    <w:rsid w:val="00152D08"/>
    <w:rsid w:val="00152EB4"/>
    <w:rsid w:val="00153125"/>
    <w:rsid w:val="00153158"/>
    <w:rsid w:val="001534F3"/>
    <w:rsid w:val="00153885"/>
    <w:rsid w:val="00153F29"/>
    <w:rsid w:val="0015525D"/>
    <w:rsid w:val="001552E2"/>
    <w:rsid w:val="001560C0"/>
    <w:rsid w:val="00156D12"/>
    <w:rsid w:val="0015737D"/>
    <w:rsid w:val="001577C3"/>
    <w:rsid w:val="001578A6"/>
    <w:rsid w:val="00160745"/>
    <w:rsid w:val="00160785"/>
    <w:rsid w:val="00160B1E"/>
    <w:rsid w:val="00160DFD"/>
    <w:rsid w:val="00161211"/>
    <w:rsid w:val="00161490"/>
    <w:rsid w:val="00162544"/>
    <w:rsid w:val="00162D33"/>
    <w:rsid w:val="00163D7A"/>
    <w:rsid w:val="0016447E"/>
    <w:rsid w:val="00164FB6"/>
    <w:rsid w:val="00165CB6"/>
    <w:rsid w:val="00165E35"/>
    <w:rsid w:val="00166784"/>
    <w:rsid w:val="00166975"/>
    <w:rsid w:val="00166A51"/>
    <w:rsid w:val="00166D26"/>
    <w:rsid w:val="00167391"/>
    <w:rsid w:val="0016767F"/>
    <w:rsid w:val="001707B3"/>
    <w:rsid w:val="00171664"/>
    <w:rsid w:val="00171CA9"/>
    <w:rsid w:val="00171ED0"/>
    <w:rsid w:val="001722BE"/>
    <w:rsid w:val="0017283F"/>
    <w:rsid w:val="001731E3"/>
    <w:rsid w:val="001732E1"/>
    <w:rsid w:val="00173D58"/>
    <w:rsid w:val="0017406D"/>
    <w:rsid w:val="001741D9"/>
    <w:rsid w:val="00174331"/>
    <w:rsid w:val="00174DDC"/>
    <w:rsid w:val="00174E37"/>
    <w:rsid w:val="00175955"/>
    <w:rsid w:val="00176C1D"/>
    <w:rsid w:val="00176CF1"/>
    <w:rsid w:val="00176D56"/>
    <w:rsid w:val="00176ECC"/>
    <w:rsid w:val="00176FCD"/>
    <w:rsid w:val="00176FDE"/>
    <w:rsid w:val="00177101"/>
    <w:rsid w:val="00177597"/>
    <w:rsid w:val="00180267"/>
    <w:rsid w:val="001804C9"/>
    <w:rsid w:val="00180ABF"/>
    <w:rsid w:val="00180FEA"/>
    <w:rsid w:val="0018157E"/>
    <w:rsid w:val="0018205A"/>
    <w:rsid w:val="00182146"/>
    <w:rsid w:val="001826BE"/>
    <w:rsid w:val="0018290D"/>
    <w:rsid w:val="00182B20"/>
    <w:rsid w:val="001834CC"/>
    <w:rsid w:val="0018354E"/>
    <w:rsid w:val="001839FF"/>
    <w:rsid w:val="00185E77"/>
    <w:rsid w:val="00185E83"/>
    <w:rsid w:val="00186C91"/>
    <w:rsid w:val="00186EDA"/>
    <w:rsid w:val="001875F4"/>
    <w:rsid w:val="00187A28"/>
    <w:rsid w:val="00190438"/>
    <w:rsid w:val="001908A0"/>
    <w:rsid w:val="00191081"/>
    <w:rsid w:val="001912DA"/>
    <w:rsid w:val="00191353"/>
    <w:rsid w:val="0019184C"/>
    <w:rsid w:val="00192591"/>
    <w:rsid w:val="00192E3D"/>
    <w:rsid w:val="0019384B"/>
    <w:rsid w:val="00193D0C"/>
    <w:rsid w:val="00194111"/>
    <w:rsid w:val="001A06C4"/>
    <w:rsid w:val="001A0A07"/>
    <w:rsid w:val="001A1100"/>
    <w:rsid w:val="001A27C2"/>
    <w:rsid w:val="001A2D69"/>
    <w:rsid w:val="001A2F50"/>
    <w:rsid w:val="001A3267"/>
    <w:rsid w:val="001A38CD"/>
    <w:rsid w:val="001A3D5F"/>
    <w:rsid w:val="001A52C9"/>
    <w:rsid w:val="001A56B7"/>
    <w:rsid w:val="001A59F4"/>
    <w:rsid w:val="001A59FB"/>
    <w:rsid w:val="001A73EF"/>
    <w:rsid w:val="001A7403"/>
    <w:rsid w:val="001A76AC"/>
    <w:rsid w:val="001B0182"/>
    <w:rsid w:val="001B0D10"/>
    <w:rsid w:val="001B0D70"/>
    <w:rsid w:val="001B1B19"/>
    <w:rsid w:val="001B1D00"/>
    <w:rsid w:val="001B1DF5"/>
    <w:rsid w:val="001B3041"/>
    <w:rsid w:val="001B305D"/>
    <w:rsid w:val="001B3657"/>
    <w:rsid w:val="001B3A3C"/>
    <w:rsid w:val="001B3B86"/>
    <w:rsid w:val="001B3EE7"/>
    <w:rsid w:val="001B4178"/>
    <w:rsid w:val="001B61A0"/>
    <w:rsid w:val="001B6358"/>
    <w:rsid w:val="001B6800"/>
    <w:rsid w:val="001B74C3"/>
    <w:rsid w:val="001C182E"/>
    <w:rsid w:val="001C1AA4"/>
    <w:rsid w:val="001C1C53"/>
    <w:rsid w:val="001C1D97"/>
    <w:rsid w:val="001C1DF3"/>
    <w:rsid w:val="001C1E25"/>
    <w:rsid w:val="001C1E7A"/>
    <w:rsid w:val="001C207C"/>
    <w:rsid w:val="001C306A"/>
    <w:rsid w:val="001C32A5"/>
    <w:rsid w:val="001C3480"/>
    <w:rsid w:val="001C38EF"/>
    <w:rsid w:val="001C4539"/>
    <w:rsid w:val="001C4762"/>
    <w:rsid w:val="001C48ED"/>
    <w:rsid w:val="001C4C26"/>
    <w:rsid w:val="001C58AE"/>
    <w:rsid w:val="001C5F1B"/>
    <w:rsid w:val="001C6EC6"/>
    <w:rsid w:val="001C79B8"/>
    <w:rsid w:val="001C7E6A"/>
    <w:rsid w:val="001D0080"/>
    <w:rsid w:val="001D09FA"/>
    <w:rsid w:val="001D0C4E"/>
    <w:rsid w:val="001D126A"/>
    <w:rsid w:val="001D1462"/>
    <w:rsid w:val="001D207C"/>
    <w:rsid w:val="001D2855"/>
    <w:rsid w:val="001D2ACE"/>
    <w:rsid w:val="001D3202"/>
    <w:rsid w:val="001D391B"/>
    <w:rsid w:val="001D3EA8"/>
    <w:rsid w:val="001D4DCC"/>
    <w:rsid w:val="001D514C"/>
    <w:rsid w:val="001D59B5"/>
    <w:rsid w:val="001D59B6"/>
    <w:rsid w:val="001D60A3"/>
    <w:rsid w:val="001D6D19"/>
    <w:rsid w:val="001D7443"/>
    <w:rsid w:val="001D752A"/>
    <w:rsid w:val="001E08A4"/>
    <w:rsid w:val="001E097A"/>
    <w:rsid w:val="001E1217"/>
    <w:rsid w:val="001E1523"/>
    <w:rsid w:val="001E1728"/>
    <w:rsid w:val="001E17D6"/>
    <w:rsid w:val="001E18F3"/>
    <w:rsid w:val="001E1F44"/>
    <w:rsid w:val="001E2A07"/>
    <w:rsid w:val="001E3A89"/>
    <w:rsid w:val="001E3EA8"/>
    <w:rsid w:val="001E3F4D"/>
    <w:rsid w:val="001E437D"/>
    <w:rsid w:val="001E457D"/>
    <w:rsid w:val="001E4B46"/>
    <w:rsid w:val="001E4D5D"/>
    <w:rsid w:val="001E4ED0"/>
    <w:rsid w:val="001E5697"/>
    <w:rsid w:val="001E5721"/>
    <w:rsid w:val="001E5765"/>
    <w:rsid w:val="001E59A5"/>
    <w:rsid w:val="001E65B4"/>
    <w:rsid w:val="001E6F8F"/>
    <w:rsid w:val="001E7D9C"/>
    <w:rsid w:val="001E7E5B"/>
    <w:rsid w:val="001F05CF"/>
    <w:rsid w:val="001F0630"/>
    <w:rsid w:val="001F06B7"/>
    <w:rsid w:val="001F06C5"/>
    <w:rsid w:val="001F0709"/>
    <w:rsid w:val="001F0EF4"/>
    <w:rsid w:val="001F0F81"/>
    <w:rsid w:val="001F1855"/>
    <w:rsid w:val="001F20C4"/>
    <w:rsid w:val="001F249E"/>
    <w:rsid w:val="001F2C5D"/>
    <w:rsid w:val="001F2F25"/>
    <w:rsid w:val="001F39BE"/>
    <w:rsid w:val="001F3AA2"/>
    <w:rsid w:val="001F3F9B"/>
    <w:rsid w:val="001F411B"/>
    <w:rsid w:val="001F45AB"/>
    <w:rsid w:val="001F4947"/>
    <w:rsid w:val="001F4C6C"/>
    <w:rsid w:val="001F4CD1"/>
    <w:rsid w:val="001F6D8D"/>
    <w:rsid w:val="001F7538"/>
    <w:rsid w:val="001F7BF8"/>
    <w:rsid w:val="001F7F06"/>
    <w:rsid w:val="002001EF"/>
    <w:rsid w:val="00200D8C"/>
    <w:rsid w:val="0020169A"/>
    <w:rsid w:val="002018E2"/>
    <w:rsid w:val="00201B6A"/>
    <w:rsid w:val="00201CC8"/>
    <w:rsid w:val="0020264B"/>
    <w:rsid w:val="00202BCB"/>
    <w:rsid w:val="00203673"/>
    <w:rsid w:val="002037DB"/>
    <w:rsid w:val="00203B73"/>
    <w:rsid w:val="0020471E"/>
    <w:rsid w:val="0020483D"/>
    <w:rsid w:val="00205560"/>
    <w:rsid w:val="00205F6B"/>
    <w:rsid w:val="0020644B"/>
    <w:rsid w:val="00206A37"/>
    <w:rsid w:val="00206BDC"/>
    <w:rsid w:val="00210971"/>
    <w:rsid w:val="00210B1B"/>
    <w:rsid w:val="00211515"/>
    <w:rsid w:val="002116CA"/>
    <w:rsid w:val="002116DF"/>
    <w:rsid w:val="00211A63"/>
    <w:rsid w:val="00212476"/>
    <w:rsid w:val="002124DF"/>
    <w:rsid w:val="00212558"/>
    <w:rsid w:val="00212AC0"/>
    <w:rsid w:val="00212CE6"/>
    <w:rsid w:val="0021333B"/>
    <w:rsid w:val="00213F1C"/>
    <w:rsid w:val="002148F1"/>
    <w:rsid w:val="00214961"/>
    <w:rsid w:val="00214AD0"/>
    <w:rsid w:val="00214DCE"/>
    <w:rsid w:val="0021506D"/>
    <w:rsid w:val="00215E39"/>
    <w:rsid w:val="0021601E"/>
    <w:rsid w:val="0021763D"/>
    <w:rsid w:val="00217AE5"/>
    <w:rsid w:val="00220BF2"/>
    <w:rsid w:val="00220EDE"/>
    <w:rsid w:val="00220FDC"/>
    <w:rsid w:val="002213CB"/>
    <w:rsid w:val="00222378"/>
    <w:rsid w:val="00222433"/>
    <w:rsid w:val="00222C56"/>
    <w:rsid w:val="00222F6E"/>
    <w:rsid w:val="00223572"/>
    <w:rsid w:val="00224F0C"/>
    <w:rsid w:val="00225693"/>
    <w:rsid w:val="0022599C"/>
    <w:rsid w:val="00225AFD"/>
    <w:rsid w:val="00226344"/>
    <w:rsid w:val="00226F6E"/>
    <w:rsid w:val="00227269"/>
    <w:rsid w:val="00227291"/>
    <w:rsid w:val="00227CD5"/>
    <w:rsid w:val="00227FAE"/>
    <w:rsid w:val="002307DA"/>
    <w:rsid w:val="00230A6D"/>
    <w:rsid w:val="00231D89"/>
    <w:rsid w:val="00232307"/>
    <w:rsid w:val="00232531"/>
    <w:rsid w:val="00232A5C"/>
    <w:rsid w:val="00233289"/>
    <w:rsid w:val="00235284"/>
    <w:rsid w:val="002356E7"/>
    <w:rsid w:val="00236378"/>
    <w:rsid w:val="002367D0"/>
    <w:rsid w:val="00237497"/>
    <w:rsid w:val="0023768E"/>
    <w:rsid w:val="0023779A"/>
    <w:rsid w:val="00237817"/>
    <w:rsid w:val="00237DCF"/>
    <w:rsid w:val="00240357"/>
    <w:rsid w:val="002405CB"/>
    <w:rsid w:val="00240F0B"/>
    <w:rsid w:val="00241A87"/>
    <w:rsid w:val="00241B41"/>
    <w:rsid w:val="002429F4"/>
    <w:rsid w:val="002430FF"/>
    <w:rsid w:val="0024397C"/>
    <w:rsid w:val="0024520B"/>
    <w:rsid w:val="00245A5D"/>
    <w:rsid w:val="00245BCA"/>
    <w:rsid w:val="00245F56"/>
    <w:rsid w:val="0024635D"/>
    <w:rsid w:val="00247464"/>
    <w:rsid w:val="00247690"/>
    <w:rsid w:val="00247EB1"/>
    <w:rsid w:val="00250283"/>
    <w:rsid w:val="00250BF5"/>
    <w:rsid w:val="00250F57"/>
    <w:rsid w:val="002514AB"/>
    <w:rsid w:val="00251A44"/>
    <w:rsid w:val="002521A6"/>
    <w:rsid w:val="00252558"/>
    <w:rsid w:val="00252620"/>
    <w:rsid w:val="00252829"/>
    <w:rsid w:val="00252E77"/>
    <w:rsid w:val="00252F13"/>
    <w:rsid w:val="0025336A"/>
    <w:rsid w:val="0025377D"/>
    <w:rsid w:val="00253C51"/>
    <w:rsid w:val="00253F14"/>
    <w:rsid w:val="00254140"/>
    <w:rsid w:val="002547C0"/>
    <w:rsid w:val="002554E4"/>
    <w:rsid w:val="0025633B"/>
    <w:rsid w:val="00256806"/>
    <w:rsid w:val="00256858"/>
    <w:rsid w:val="002571C6"/>
    <w:rsid w:val="00257347"/>
    <w:rsid w:val="00257DCC"/>
    <w:rsid w:val="00261024"/>
    <w:rsid w:val="00261359"/>
    <w:rsid w:val="0026143F"/>
    <w:rsid w:val="00262D87"/>
    <w:rsid w:val="002630C0"/>
    <w:rsid w:val="0026393D"/>
    <w:rsid w:val="00263DF5"/>
    <w:rsid w:val="00263E6E"/>
    <w:rsid w:val="00264564"/>
    <w:rsid w:val="00264681"/>
    <w:rsid w:val="00264CDF"/>
    <w:rsid w:val="00264F0F"/>
    <w:rsid w:val="002651B4"/>
    <w:rsid w:val="00265270"/>
    <w:rsid w:val="00265C45"/>
    <w:rsid w:val="00266BE6"/>
    <w:rsid w:val="002670B4"/>
    <w:rsid w:val="00267206"/>
    <w:rsid w:val="00267AE8"/>
    <w:rsid w:val="00267DA0"/>
    <w:rsid w:val="00267F47"/>
    <w:rsid w:val="002719D6"/>
    <w:rsid w:val="0027224C"/>
    <w:rsid w:val="00272CFD"/>
    <w:rsid w:val="00272D36"/>
    <w:rsid w:val="0027347F"/>
    <w:rsid w:val="00275394"/>
    <w:rsid w:val="002759E9"/>
    <w:rsid w:val="00275C2B"/>
    <w:rsid w:val="0027626F"/>
    <w:rsid w:val="00276614"/>
    <w:rsid w:val="00276C34"/>
    <w:rsid w:val="00277229"/>
    <w:rsid w:val="0027740E"/>
    <w:rsid w:val="002775E5"/>
    <w:rsid w:val="002776CA"/>
    <w:rsid w:val="00277803"/>
    <w:rsid w:val="002779CE"/>
    <w:rsid w:val="00280879"/>
    <w:rsid w:val="00281347"/>
    <w:rsid w:val="002815D6"/>
    <w:rsid w:val="0028206E"/>
    <w:rsid w:val="002821FE"/>
    <w:rsid w:val="002823E8"/>
    <w:rsid w:val="00284509"/>
    <w:rsid w:val="0028524B"/>
    <w:rsid w:val="00285369"/>
    <w:rsid w:val="00286AF7"/>
    <w:rsid w:val="00286EA6"/>
    <w:rsid w:val="002874D4"/>
    <w:rsid w:val="002875F0"/>
    <w:rsid w:val="002879CE"/>
    <w:rsid w:val="00287CE7"/>
    <w:rsid w:val="002904F8"/>
    <w:rsid w:val="00290919"/>
    <w:rsid w:val="00292127"/>
    <w:rsid w:val="0029244B"/>
    <w:rsid w:val="00292999"/>
    <w:rsid w:val="00292A9C"/>
    <w:rsid w:val="00292BB2"/>
    <w:rsid w:val="002933AA"/>
    <w:rsid w:val="00293D48"/>
    <w:rsid w:val="002948EB"/>
    <w:rsid w:val="00295089"/>
    <w:rsid w:val="00295456"/>
    <w:rsid w:val="002956FD"/>
    <w:rsid w:val="002957AB"/>
    <w:rsid w:val="00295BB8"/>
    <w:rsid w:val="00295D20"/>
    <w:rsid w:val="00296454"/>
    <w:rsid w:val="00296517"/>
    <w:rsid w:val="00296681"/>
    <w:rsid w:val="00296C42"/>
    <w:rsid w:val="00297A90"/>
    <w:rsid w:val="00297AA3"/>
    <w:rsid w:val="00297E4B"/>
    <w:rsid w:val="002A03E6"/>
    <w:rsid w:val="002A2584"/>
    <w:rsid w:val="002A3687"/>
    <w:rsid w:val="002A38E4"/>
    <w:rsid w:val="002A3913"/>
    <w:rsid w:val="002A46C6"/>
    <w:rsid w:val="002A5446"/>
    <w:rsid w:val="002A56F5"/>
    <w:rsid w:val="002A595E"/>
    <w:rsid w:val="002A59D3"/>
    <w:rsid w:val="002A5D38"/>
    <w:rsid w:val="002A5D86"/>
    <w:rsid w:val="002A5F43"/>
    <w:rsid w:val="002A6FFD"/>
    <w:rsid w:val="002A7783"/>
    <w:rsid w:val="002A7F6C"/>
    <w:rsid w:val="002B0D9A"/>
    <w:rsid w:val="002B0EF6"/>
    <w:rsid w:val="002B13A2"/>
    <w:rsid w:val="002B1631"/>
    <w:rsid w:val="002B1649"/>
    <w:rsid w:val="002B1B08"/>
    <w:rsid w:val="002B219D"/>
    <w:rsid w:val="002B2DD6"/>
    <w:rsid w:val="002B31E7"/>
    <w:rsid w:val="002B3DC9"/>
    <w:rsid w:val="002B461D"/>
    <w:rsid w:val="002B4D20"/>
    <w:rsid w:val="002B5B75"/>
    <w:rsid w:val="002B5B7A"/>
    <w:rsid w:val="002B5E6E"/>
    <w:rsid w:val="002B6CD0"/>
    <w:rsid w:val="002B7851"/>
    <w:rsid w:val="002C041D"/>
    <w:rsid w:val="002C1080"/>
    <w:rsid w:val="002C1171"/>
    <w:rsid w:val="002C1210"/>
    <w:rsid w:val="002C20A8"/>
    <w:rsid w:val="002C25A5"/>
    <w:rsid w:val="002C288A"/>
    <w:rsid w:val="002C3878"/>
    <w:rsid w:val="002C3CC7"/>
    <w:rsid w:val="002C4D3E"/>
    <w:rsid w:val="002C4FD8"/>
    <w:rsid w:val="002C5601"/>
    <w:rsid w:val="002C5B41"/>
    <w:rsid w:val="002C6876"/>
    <w:rsid w:val="002C6D59"/>
    <w:rsid w:val="002C6F07"/>
    <w:rsid w:val="002C732E"/>
    <w:rsid w:val="002D0D3B"/>
    <w:rsid w:val="002D17B0"/>
    <w:rsid w:val="002D1A02"/>
    <w:rsid w:val="002D1A9F"/>
    <w:rsid w:val="002D1D27"/>
    <w:rsid w:val="002D1D4A"/>
    <w:rsid w:val="002D225F"/>
    <w:rsid w:val="002D24AA"/>
    <w:rsid w:val="002D2524"/>
    <w:rsid w:val="002D281D"/>
    <w:rsid w:val="002D31E9"/>
    <w:rsid w:val="002D338F"/>
    <w:rsid w:val="002D44BA"/>
    <w:rsid w:val="002D4966"/>
    <w:rsid w:val="002D503B"/>
    <w:rsid w:val="002D58E6"/>
    <w:rsid w:val="002D594E"/>
    <w:rsid w:val="002D5A1A"/>
    <w:rsid w:val="002D5C91"/>
    <w:rsid w:val="002D5CC7"/>
    <w:rsid w:val="002D606F"/>
    <w:rsid w:val="002D7157"/>
    <w:rsid w:val="002E0714"/>
    <w:rsid w:val="002E0DA2"/>
    <w:rsid w:val="002E0F9D"/>
    <w:rsid w:val="002E1857"/>
    <w:rsid w:val="002E1F0E"/>
    <w:rsid w:val="002E27FC"/>
    <w:rsid w:val="002E28C8"/>
    <w:rsid w:val="002E2C2A"/>
    <w:rsid w:val="002E31B3"/>
    <w:rsid w:val="002E5133"/>
    <w:rsid w:val="002E5218"/>
    <w:rsid w:val="002E5ADA"/>
    <w:rsid w:val="002E60D8"/>
    <w:rsid w:val="002E61EC"/>
    <w:rsid w:val="002E76C8"/>
    <w:rsid w:val="002F041F"/>
    <w:rsid w:val="002F0701"/>
    <w:rsid w:val="002F0C9D"/>
    <w:rsid w:val="002F0DE8"/>
    <w:rsid w:val="002F1171"/>
    <w:rsid w:val="002F15DB"/>
    <w:rsid w:val="002F1D39"/>
    <w:rsid w:val="002F1FA2"/>
    <w:rsid w:val="002F1FBD"/>
    <w:rsid w:val="002F2593"/>
    <w:rsid w:val="002F2BB5"/>
    <w:rsid w:val="002F2FA1"/>
    <w:rsid w:val="002F3828"/>
    <w:rsid w:val="002F404F"/>
    <w:rsid w:val="002F54D4"/>
    <w:rsid w:val="002F5FDE"/>
    <w:rsid w:val="002F66D7"/>
    <w:rsid w:val="002F79D0"/>
    <w:rsid w:val="002F7A6E"/>
    <w:rsid w:val="0030043E"/>
    <w:rsid w:val="003007B5"/>
    <w:rsid w:val="00300B35"/>
    <w:rsid w:val="00300C31"/>
    <w:rsid w:val="003016DE"/>
    <w:rsid w:val="00301F8C"/>
    <w:rsid w:val="003021BA"/>
    <w:rsid w:val="0030226B"/>
    <w:rsid w:val="0030249B"/>
    <w:rsid w:val="00302676"/>
    <w:rsid w:val="003026A1"/>
    <w:rsid w:val="0030359D"/>
    <w:rsid w:val="00303917"/>
    <w:rsid w:val="003042E3"/>
    <w:rsid w:val="00304B82"/>
    <w:rsid w:val="00305084"/>
    <w:rsid w:val="00305227"/>
    <w:rsid w:val="003055D8"/>
    <w:rsid w:val="00305B78"/>
    <w:rsid w:val="0030622A"/>
    <w:rsid w:val="003068E5"/>
    <w:rsid w:val="00306D8D"/>
    <w:rsid w:val="003074A4"/>
    <w:rsid w:val="003079F4"/>
    <w:rsid w:val="00307A29"/>
    <w:rsid w:val="00307DB7"/>
    <w:rsid w:val="00311052"/>
    <w:rsid w:val="00311FA8"/>
    <w:rsid w:val="003122E9"/>
    <w:rsid w:val="00312447"/>
    <w:rsid w:val="00312579"/>
    <w:rsid w:val="00312DFA"/>
    <w:rsid w:val="00312F91"/>
    <w:rsid w:val="00313AF0"/>
    <w:rsid w:val="0031490C"/>
    <w:rsid w:val="003158B7"/>
    <w:rsid w:val="00315D7B"/>
    <w:rsid w:val="00316275"/>
    <w:rsid w:val="00317017"/>
    <w:rsid w:val="00317B47"/>
    <w:rsid w:val="00317D96"/>
    <w:rsid w:val="0032006E"/>
    <w:rsid w:val="0032012E"/>
    <w:rsid w:val="00320BE8"/>
    <w:rsid w:val="00320CFA"/>
    <w:rsid w:val="003214A1"/>
    <w:rsid w:val="00321DF9"/>
    <w:rsid w:val="00323851"/>
    <w:rsid w:val="003240DA"/>
    <w:rsid w:val="00324CF7"/>
    <w:rsid w:val="00325165"/>
    <w:rsid w:val="00325835"/>
    <w:rsid w:val="003259DB"/>
    <w:rsid w:val="003260DB"/>
    <w:rsid w:val="00326E70"/>
    <w:rsid w:val="003309D8"/>
    <w:rsid w:val="00330A8C"/>
    <w:rsid w:val="00330F85"/>
    <w:rsid w:val="00331336"/>
    <w:rsid w:val="00331874"/>
    <w:rsid w:val="00331AB1"/>
    <w:rsid w:val="00331D83"/>
    <w:rsid w:val="00332034"/>
    <w:rsid w:val="00332071"/>
    <w:rsid w:val="00332075"/>
    <w:rsid w:val="00332211"/>
    <w:rsid w:val="0033264D"/>
    <w:rsid w:val="00332DDB"/>
    <w:rsid w:val="00334D42"/>
    <w:rsid w:val="00334D64"/>
    <w:rsid w:val="00334EA8"/>
    <w:rsid w:val="00335670"/>
    <w:rsid w:val="0033580A"/>
    <w:rsid w:val="00335A7E"/>
    <w:rsid w:val="003362D3"/>
    <w:rsid w:val="003369B7"/>
    <w:rsid w:val="003369DD"/>
    <w:rsid w:val="00336A90"/>
    <w:rsid w:val="00336D87"/>
    <w:rsid w:val="00336DDE"/>
    <w:rsid w:val="00336EDB"/>
    <w:rsid w:val="00337896"/>
    <w:rsid w:val="003403C1"/>
    <w:rsid w:val="0034126E"/>
    <w:rsid w:val="00341A0F"/>
    <w:rsid w:val="003423D8"/>
    <w:rsid w:val="0034248C"/>
    <w:rsid w:val="0034250D"/>
    <w:rsid w:val="00343AA9"/>
    <w:rsid w:val="00344FAC"/>
    <w:rsid w:val="00345123"/>
    <w:rsid w:val="003459EB"/>
    <w:rsid w:val="00346855"/>
    <w:rsid w:val="003468DB"/>
    <w:rsid w:val="00347D4F"/>
    <w:rsid w:val="00347DE2"/>
    <w:rsid w:val="003501F0"/>
    <w:rsid w:val="0035020C"/>
    <w:rsid w:val="003503A3"/>
    <w:rsid w:val="00350BA5"/>
    <w:rsid w:val="00351959"/>
    <w:rsid w:val="00352332"/>
    <w:rsid w:val="00352E24"/>
    <w:rsid w:val="003531DF"/>
    <w:rsid w:val="00353393"/>
    <w:rsid w:val="00354154"/>
    <w:rsid w:val="003554A1"/>
    <w:rsid w:val="00355875"/>
    <w:rsid w:val="00355882"/>
    <w:rsid w:val="0035623E"/>
    <w:rsid w:val="00356291"/>
    <w:rsid w:val="00356584"/>
    <w:rsid w:val="00356925"/>
    <w:rsid w:val="00357011"/>
    <w:rsid w:val="00357727"/>
    <w:rsid w:val="00357AC9"/>
    <w:rsid w:val="00357F01"/>
    <w:rsid w:val="00357F4D"/>
    <w:rsid w:val="00360410"/>
    <w:rsid w:val="00360BDC"/>
    <w:rsid w:val="00361415"/>
    <w:rsid w:val="00361553"/>
    <w:rsid w:val="00361A27"/>
    <w:rsid w:val="00362483"/>
    <w:rsid w:val="00362E3D"/>
    <w:rsid w:val="00363799"/>
    <w:rsid w:val="003639ED"/>
    <w:rsid w:val="00363EFE"/>
    <w:rsid w:val="003641C8"/>
    <w:rsid w:val="00365314"/>
    <w:rsid w:val="00365767"/>
    <w:rsid w:val="00366866"/>
    <w:rsid w:val="00366C7D"/>
    <w:rsid w:val="00367589"/>
    <w:rsid w:val="00367591"/>
    <w:rsid w:val="0037069B"/>
    <w:rsid w:val="003714BD"/>
    <w:rsid w:val="00371644"/>
    <w:rsid w:val="00371982"/>
    <w:rsid w:val="00371C9B"/>
    <w:rsid w:val="00371ECB"/>
    <w:rsid w:val="00372065"/>
    <w:rsid w:val="0037211A"/>
    <w:rsid w:val="00372903"/>
    <w:rsid w:val="00373C8C"/>
    <w:rsid w:val="00373C9B"/>
    <w:rsid w:val="003742E5"/>
    <w:rsid w:val="003745B3"/>
    <w:rsid w:val="00374C7F"/>
    <w:rsid w:val="0037514F"/>
    <w:rsid w:val="00375373"/>
    <w:rsid w:val="00375B67"/>
    <w:rsid w:val="00375B7A"/>
    <w:rsid w:val="00377576"/>
    <w:rsid w:val="003775D7"/>
    <w:rsid w:val="0037765B"/>
    <w:rsid w:val="003802E7"/>
    <w:rsid w:val="0038056C"/>
    <w:rsid w:val="0038236B"/>
    <w:rsid w:val="00382878"/>
    <w:rsid w:val="003849B1"/>
    <w:rsid w:val="00384BF0"/>
    <w:rsid w:val="00385FAB"/>
    <w:rsid w:val="00386322"/>
    <w:rsid w:val="00386545"/>
    <w:rsid w:val="00387B28"/>
    <w:rsid w:val="00387B43"/>
    <w:rsid w:val="00390145"/>
    <w:rsid w:val="003908FD"/>
    <w:rsid w:val="00390A0E"/>
    <w:rsid w:val="00390B5A"/>
    <w:rsid w:val="00392576"/>
    <w:rsid w:val="00392C94"/>
    <w:rsid w:val="00393174"/>
    <w:rsid w:val="003931C9"/>
    <w:rsid w:val="00393849"/>
    <w:rsid w:val="00393E4E"/>
    <w:rsid w:val="0039462E"/>
    <w:rsid w:val="0039465C"/>
    <w:rsid w:val="0039509E"/>
    <w:rsid w:val="00395247"/>
    <w:rsid w:val="003953E8"/>
    <w:rsid w:val="00395B45"/>
    <w:rsid w:val="0039634F"/>
    <w:rsid w:val="0039657B"/>
    <w:rsid w:val="00397032"/>
    <w:rsid w:val="00397439"/>
    <w:rsid w:val="00397736"/>
    <w:rsid w:val="00397D09"/>
    <w:rsid w:val="003A023C"/>
    <w:rsid w:val="003A078C"/>
    <w:rsid w:val="003A094A"/>
    <w:rsid w:val="003A0F80"/>
    <w:rsid w:val="003A11A6"/>
    <w:rsid w:val="003A1257"/>
    <w:rsid w:val="003A1C9D"/>
    <w:rsid w:val="003A1DB5"/>
    <w:rsid w:val="003A23D3"/>
    <w:rsid w:val="003A271F"/>
    <w:rsid w:val="003A275D"/>
    <w:rsid w:val="003A3137"/>
    <w:rsid w:val="003A39A2"/>
    <w:rsid w:val="003A41AB"/>
    <w:rsid w:val="003A46CE"/>
    <w:rsid w:val="003A4910"/>
    <w:rsid w:val="003A57C4"/>
    <w:rsid w:val="003A616B"/>
    <w:rsid w:val="003A6284"/>
    <w:rsid w:val="003A65C9"/>
    <w:rsid w:val="003A6E8E"/>
    <w:rsid w:val="003A7905"/>
    <w:rsid w:val="003B020D"/>
    <w:rsid w:val="003B1341"/>
    <w:rsid w:val="003B167C"/>
    <w:rsid w:val="003B2499"/>
    <w:rsid w:val="003B29B3"/>
    <w:rsid w:val="003B35FF"/>
    <w:rsid w:val="003B40ED"/>
    <w:rsid w:val="003B4F6B"/>
    <w:rsid w:val="003B5542"/>
    <w:rsid w:val="003B5C23"/>
    <w:rsid w:val="003B65B1"/>
    <w:rsid w:val="003B701E"/>
    <w:rsid w:val="003B7B42"/>
    <w:rsid w:val="003B7F3A"/>
    <w:rsid w:val="003C05C8"/>
    <w:rsid w:val="003C0DC6"/>
    <w:rsid w:val="003C146D"/>
    <w:rsid w:val="003C1768"/>
    <w:rsid w:val="003C1884"/>
    <w:rsid w:val="003C1C3B"/>
    <w:rsid w:val="003C2353"/>
    <w:rsid w:val="003C291D"/>
    <w:rsid w:val="003C3208"/>
    <w:rsid w:val="003C328C"/>
    <w:rsid w:val="003C3CBB"/>
    <w:rsid w:val="003C4A7C"/>
    <w:rsid w:val="003C5681"/>
    <w:rsid w:val="003C580F"/>
    <w:rsid w:val="003C5921"/>
    <w:rsid w:val="003C670D"/>
    <w:rsid w:val="003C6F16"/>
    <w:rsid w:val="003C70CE"/>
    <w:rsid w:val="003C7A34"/>
    <w:rsid w:val="003C7DAA"/>
    <w:rsid w:val="003D0A1F"/>
    <w:rsid w:val="003D0A54"/>
    <w:rsid w:val="003D0AB7"/>
    <w:rsid w:val="003D13E0"/>
    <w:rsid w:val="003D16B1"/>
    <w:rsid w:val="003D1D20"/>
    <w:rsid w:val="003D44AA"/>
    <w:rsid w:val="003D5695"/>
    <w:rsid w:val="003D5AB2"/>
    <w:rsid w:val="003D6B4C"/>
    <w:rsid w:val="003D6EBC"/>
    <w:rsid w:val="003D74D1"/>
    <w:rsid w:val="003D7898"/>
    <w:rsid w:val="003D78DD"/>
    <w:rsid w:val="003E0EE7"/>
    <w:rsid w:val="003E1412"/>
    <w:rsid w:val="003E1CB3"/>
    <w:rsid w:val="003E1D54"/>
    <w:rsid w:val="003E1DE4"/>
    <w:rsid w:val="003E1E4D"/>
    <w:rsid w:val="003E21BD"/>
    <w:rsid w:val="003E2619"/>
    <w:rsid w:val="003E2D7E"/>
    <w:rsid w:val="003E3294"/>
    <w:rsid w:val="003E3A74"/>
    <w:rsid w:val="003E3B53"/>
    <w:rsid w:val="003E3EFF"/>
    <w:rsid w:val="003E4D69"/>
    <w:rsid w:val="003E5084"/>
    <w:rsid w:val="003E579D"/>
    <w:rsid w:val="003E6CFA"/>
    <w:rsid w:val="003F0802"/>
    <w:rsid w:val="003F143D"/>
    <w:rsid w:val="003F194B"/>
    <w:rsid w:val="003F1A2E"/>
    <w:rsid w:val="003F1DD2"/>
    <w:rsid w:val="003F201A"/>
    <w:rsid w:val="003F2810"/>
    <w:rsid w:val="003F3458"/>
    <w:rsid w:val="003F3557"/>
    <w:rsid w:val="003F35D9"/>
    <w:rsid w:val="003F3E90"/>
    <w:rsid w:val="003F4157"/>
    <w:rsid w:val="003F4CA4"/>
    <w:rsid w:val="003F4D66"/>
    <w:rsid w:val="003F4DA6"/>
    <w:rsid w:val="003F5172"/>
    <w:rsid w:val="003F529A"/>
    <w:rsid w:val="003F75AD"/>
    <w:rsid w:val="003F7AA3"/>
    <w:rsid w:val="004014DF"/>
    <w:rsid w:val="00401964"/>
    <w:rsid w:val="00401DD5"/>
    <w:rsid w:val="0040234D"/>
    <w:rsid w:val="004026D7"/>
    <w:rsid w:val="00402993"/>
    <w:rsid w:val="004029E0"/>
    <w:rsid w:val="00402BDE"/>
    <w:rsid w:val="00402D37"/>
    <w:rsid w:val="00402EFB"/>
    <w:rsid w:val="00402F2E"/>
    <w:rsid w:val="004035C0"/>
    <w:rsid w:val="00403AFD"/>
    <w:rsid w:val="00403E8A"/>
    <w:rsid w:val="00403ED0"/>
    <w:rsid w:val="00403FE8"/>
    <w:rsid w:val="00404424"/>
    <w:rsid w:val="00404D42"/>
    <w:rsid w:val="00404DD5"/>
    <w:rsid w:val="00404EF7"/>
    <w:rsid w:val="004051B2"/>
    <w:rsid w:val="00405375"/>
    <w:rsid w:val="00405B16"/>
    <w:rsid w:val="0040647E"/>
    <w:rsid w:val="0040697E"/>
    <w:rsid w:val="00407D6B"/>
    <w:rsid w:val="00407E02"/>
    <w:rsid w:val="0041017B"/>
    <w:rsid w:val="00410BB6"/>
    <w:rsid w:val="0041119C"/>
    <w:rsid w:val="004113EC"/>
    <w:rsid w:val="00411562"/>
    <w:rsid w:val="00411640"/>
    <w:rsid w:val="004117C0"/>
    <w:rsid w:val="00411BD0"/>
    <w:rsid w:val="00411F18"/>
    <w:rsid w:val="00413225"/>
    <w:rsid w:val="004139A4"/>
    <w:rsid w:val="00414110"/>
    <w:rsid w:val="00414330"/>
    <w:rsid w:val="004143D1"/>
    <w:rsid w:val="00414743"/>
    <w:rsid w:val="00416CA1"/>
    <w:rsid w:val="00417224"/>
    <w:rsid w:val="00417333"/>
    <w:rsid w:val="004173AF"/>
    <w:rsid w:val="00417BC3"/>
    <w:rsid w:val="004205EF"/>
    <w:rsid w:val="00420C0D"/>
    <w:rsid w:val="00421104"/>
    <w:rsid w:val="00421267"/>
    <w:rsid w:val="004216B9"/>
    <w:rsid w:val="00421CB5"/>
    <w:rsid w:val="0042219A"/>
    <w:rsid w:val="00422D47"/>
    <w:rsid w:val="00423666"/>
    <w:rsid w:val="00423A77"/>
    <w:rsid w:val="00423ECE"/>
    <w:rsid w:val="004248AA"/>
    <w:rsid w:val="004249E2"/>
    <w:rsid w:val="00425CA1"/>
    <w:rsid w:val="00425F19"/>
    <w:rsid w:val="00426255"/>
    <w:rsid w:val="004264CA"/>
    <w:rsid w:val="00426611"/>
    <w:rsid w:val="0043045A"/>
    <w:rsid w:val="004304B5"/>
    <w:rsid w:val="0043054D"/>
    <w:rsid w:val="00430C04"/>
    <w:rsid w:val="00431167"/>
    <w:rsid w:val="004317CA"/>
    <w:rsid w:val="00432583"/>
    <w:rsid w:val="004348B9"/>
    <w:rsid w:val="00434A4E"/>
    <w:rsid w:val="00434A81"/>
    <w:rsid w:val="00434DFA"/>
    <w:rsid w:val="0043502D"/>
    <w:rsid w:val="00435281"/>
    <w:rsid w:val="004355B6"/>
    <w:rsid w:val="004355E9"/>
    <w:rsid w:val="004356BB"/>
    <w:rsid w:val="00436164"/>
    <w:rsid w:val="0043646E"/>
    <w:rsid w:val="004368A8"/>
    <w:rsid w:val="00437040"/>
    <w:rsid w:val="00437217"/>
    <w:rsid w:val="004377A6"/>
    <w:rsid w:val="00437A25"/>
    <w:rsid w:val="00437D0B"/>
    <w:rsid w:val="00440174"/>
    <w:rsid w:val="004419B8"/>
    <w:rsid w:val="00441AD1"/>
    <w:rsid w:val="00441CC5"/>
    <w:rsid w:val="0044222F"/>
    <w:rsid w:val="00442845"/>
    <w:rsid w:val="0044343E"/>
    <w:rsid w:val="00443482"/>
    <w:rsid w:val="00443796"/>
    <w:rsid w:val="00443AAB"/>
    <w:rsid w:val="00444386"/>
    <w:rsid w:val="0044459A"/>
    <w:rsid w:val="00444ED0"/>
    <w:rsid w:val="00444F34"/>
    <w:rsid w:val="00444F72"/>
    <w:rsid w:val="00444FE4"/>
    <w:rsid w:val="00446F9B"/>
    <w:rsid w:val="00447B5B"/>
    <w:rsid w:val="00447C73"/>
    <w:rsid w:val="00447F80"/>
    <w:rsid w:val="0045055F"/>
    <w:rsid w:val="00450D24"/>
    <w:rsid w:val="00450F62"/>
    <w:rsid w:val="00451728"/>
    <w:rsid w:val="00451F46"/>
    <w:rsid w:val="0045216E"/>
    <w:rsid w:val="00452B4E"/>
    <w:rsid w:val="00452E75"/>
    <w:rsid w:val="00452FD4"/>
    <w:rsid w:val="00453054"/>
    <w:rsid w:val="00454419"/>
    <w:rsid w:val="004544A6"/>
    <w:rsid w:val="0045473E"/>
    <w:rsid w:val="0045484C"/>
    <w:rsid w:val="00455853"/>
    <w:rsid w:val="00456CC6"/>
    <w:rsid w:val="0045714E"/>
    <w:rsid w:val="004576C2"/>
    <w:rsid w:val="0045778C"/>
    <w:rsid w:val="004602CB"/>
    <w:rsid w:val="00460B4F"/>
    <w:rsid w:val="00462914"/>
    <w:rsid w:val="00463001"/>
    <w:rsid w:val="00463023"/>
    <w:rsid w:val="00463155"/>
    <w:rsid w:val="00463814"/>
    <w:rsid w:val="00463E7A"/>
    <w:rsid w:val="00463EF3"/>
    <w:rsid w:val="004647C5"/>
    <w:rsid w:val="004649A1"/>
    <w:rsid w:val="00464CC5"/>
    <w:rsid w:val="004652E3"/>
    <w:rsid w:val="004658A5"/>
    <w:rsid w:val="00465C20"/>
    <w:rsid w:val="00465E5F"/>
    <w:rsid w:val="00465F5B"/>
    <w:rsid w:val="004661FB"/>
    <w:rsid w:val="00466413"/>
    <w:rsid w:val="00466CCA"/>
    <w:rsid w:val="004671BE"/>
    <w:rsid w:val="00467AD0"/>
    <w:rsid w:val="0047049D"/>
    <w:rsid w:val="00471430"/>
    <w:rsid w:val="00472154"/>
    <w:rsid w:val="00472386"/>
    <w:rsid w:val="0047249D"/>
    <w:rsid w:val="0047256D"/>
    <w:rsid w:val="004729CE"/>
    <w:rsid w:val="00473DCB"/>
    <w:rsid w:val="00473EA1"/>
    <w:rsid w:val="004747DE"/>
    <w:rsid w:val="00474D44"/>
    <w:rsid w:val="00475C53"/>
    <w:rsid w:val="00475CAE"/>
    <w:rsid w:val="004761EC"/>
    <w:rsid w:val="0047668D"/>
    <w:rsid w:val="0047682A"/>
    <w:rsid w:val="00476B84"/>
    <w:rsid w:val="00476C97"/>
    <w:rsid w:val="00476D85"/>
    <w:rsid w:val="004771E7"/>
    <w:rsid w:val="00480AEA"/>
    <w:rsid w:val="00481120"/>
    <w:rsid w:val="004812C7"/>
    <w:rsid w:val="004816DF"/>
    <w:rsid w:val="00482139"/>
    <w:rsid w:val="0048359F"/>
    <w:rsid w:val="00484035"/>
    <w:rsid w:val="00485941"/>
    <w:rsid w:val="00485DAD"/>
    <w:rsid w:val="0048623F"/>
    <w:rsid w:val="00486ADC"/>
    <w:rsid w:val="00486DAA"/>
    <w:rsid w:val="004901A2"/>
    <w:rsid w:val="004901B0"/>
    <w:rsid w:val="004901D8"/>
    <w:rsid w:val="00490428"/>
    <w:rsid w:val="00490489"/>
    <w:rsid w:val="0049074C"/>
    <w:rsid w:val="00490D54"/>
    <w:rsid w:val="0049151E"/>
    <w:rsid w:val="00491623"/>
    <w:rsid w:val="004920AB"/>
    <w:rsid w:val="004926B3"/>
    <w:rsid w:val="004926F4"/>
    <w:rsid w:val="00492850"/>
    <w:rsid w:val="004928DE"/>
    <w:rsid w:val="00492C88"/>
    <w:rsid w:val="00492CD7"/>
    <w:rsid w:val="004930E8"/>
    <w:rsid w:val="00493C9C"/>
    <w:rsid w:val="004940CD"/>
    <w:rsid w:val="0049461E"/>
    <w:rsid w:val="00495003"/>
    <w:rsid w:val="004953ED"/>
    <w:rsid w:val="00495525"/>
    <w:rsid w:val="00495A46"/>
    <w:rsid w:val="004975F9"/>
    <w:rsid w:val="00497B3F"/>
    <w:rsid w:val="004A0059"/>
    <w:rsid w:val="004A01FE"/>
    <w:rsid w:val="004A02E7"/>
    <w:rsid w:val="004A04E8"/>
    <w:rsid w:val="004A12BC"/>
    <w:rsid w:val="004A18C2"/>
    <w:rsid w:val="004A1F69"/>
    <w:rsid w:val="004A2589"/>
    <w:rsid w:val="004A28F9"/>
    <w:rsid w:val="004A2A8F"/>
    <w:rsid w:val="004A2C45"/>
    <w:rsid w:val="004A3E1D"/>
    <w:rsid w:val="004A4007"/>
    <w:rsid w:val="004A41BC"/>
    <w:rsid w:val="004A48C1"/>
    <w:rsid w:val="004A4D38"/>
    <w:rsid w:val="004A4DCF"/>
    <w:rsid w:val="004A519F"/>
    <w:rsid w:val="004A57CE"/>
    <w:rsid w:val="004A5951"/>
    <w:rsid w:val="004A5E9B"/>
    <w:rsid w:val="004A6666"/>
    <w:rsid w:val="004A69FD"/>
    <w:rsid w:val="004A6CD7"/>
    <w:rsid w:val="004A72C1"/>
    <w:rsid w:val="004B02F1"/>
    <w:rsid w:val="004B0915"/>
    <w:rsid w:val="004B1367"/>
    <w:rsid w:val="004B1547"/>
    <w:rsid w:val="004B214C"/>
    <w:rsid w:val="004B233B"/>
    <w:rsid w:val="004B4341"/>
    <w:rsid w:val="004B4EFF"/>
    <w:rsid w:val="004B51F2"/>
    <w:rsid w:val="004B57E5"/>
    <w:rsid w:val="004B5831"/>
    <w:rsid w:val="004B5C0E"/>
    <w:rsid w:val="004B5D43"/>
    <w:rsid w:val="004B6920"/>
    <w:rsid w:val="004B6B2F"/>
    <w:rsid w:val="004B6C99"/>
    <w:rsid w:val="004B6D07"/>
    <w:rsid w:val="004B6D09"/>
    <w:rsid w:val="004B782F"/>
    <w:rsid w:val="004B78BC"/>
    <w:rsid w:val="004C0896"/>
    <w:rsid w:val="004C08F1"/>
    <w:rsid w:val="004C0F1E"/>
    <w:rsid w:val="004C0F74"/>
    <w:rsid w:val="004C110C"/>
    <w:rsid w:val="004C163E"/>
    <w:rsid w:val="004C1AEB"/>
    <w:rsid w:val="004C1B29"/>
    <w:rsid w:val="004C1E27"/>
    <w:rsid w:val="004C21A2"/>
    <w:rsid w:val="004C2C38"/>
    <w:rsid w:val="004C2C6A"/>
    <w:rsid w:val="004C3066"/>
    <w:rsid w:val="004C3415"/>
    <w:rsid w:val="004C3B10"/>
    <w:rsid w:val="004C419F"/>
    <w:rsid w:val="004C4281"/>
    <w:rsid w:val="004C4B8E"/>
    <w:rsid w:val="004C5134"/>
    <w:rsid w:val="004C5322"/>
    <w:rsid w:val="004C5902"/>
    <w:rsid w:val="004C6724"/>
    <w:rsid w:val="004C6C99"/>
    <w:rsid w:val="004C7514"/>
    <w:rsid w:val="004C75F9"/>
    <w:rsid w:val="004D0681"/>
    <w:rsid w:val="004D094D"/>
    <w:rsid w:val="004D1775"/>
    <w:rsid w:val="004D1DA3"/>
    <w:rsid w:val="004D2288"/>
    <w:rsid w:val="004D25AB"/>
    <w:rsid w:val="004D2A20"/>
    <w:rsid w:val="004D35AD"/>
    <w:rsid w:val="004D3F7C"/>
    <w:rsid w:val="004D4727"/>
    <w:rsid w:val="004D5DCF"/>
    <w:rsid w:val="004D5F9B"/>
    <w:rsid w:val="004D5FD2"/>
    <w:rsid w:val="004D6966"/>
    <w:rsid w:val="004D7CB3"/>
    <w:rsid w:val="004E0403"/>
    <w:rsid w:val="004E0968"/>
    <w:rsid w:val="004E0B58"/>
    <w:rsid w:val="004E0FB3"/>
    <w:rsid w:val="004E1EAC"/>
    <w:rsid w:val="004E2B09"/>
    <w:rsid w:val="004E2D03"/>
    <w:rsid w:val="004E301F"/>
    <w:rsid w:val="004E3304"/>
    <w:rsid w:val="004E3981"/>
    <w:rsid w:val="004E40F5"/>
    <w:rsid w:val="004E5F3C"/>
    <w:rsid w:val="004E6DEA"/>
    <w:rsid w:val="004F016D"/>
    <w:rsid w:val="004F0C91"/>
    <w:rsid w:val="004F1223"/>
    <w:rsid w:val="004F1A3A"/>
    <w:rsid w:val="004F2815"/>
    <w:rsid w:val="004F2F91"/>
    <w:rsid w:val="004F3AC7"/>
    <w:rsid w:val="004F3E1D"/>
    <w:rsid w:val="004F4288"/>
    <w:rsid w:val="004F4657"/>
    <w:rsid w:val="004F4AED"/>
    <w:rsid w:val="004F50F8"/>
    <w:rsid w:val="004F5791"/>
    <w:rsid w:val="004F5C65"/>
    <w:rsid w:val="004F6067"/>
    <w:rsid w:val="004F6440"/>
    <w:rsid w:val="004F72CC"/>
    <w:rsid w:val="004F7432"/>
    <w:rsid w:val="004F74C3"/>
    <w:rsid w:val="004F7692"/>
    <w:rsid w:val="004F7AA3"/>
    <w:rsid w:val="004F7DDC"/>
    <w:rsid w:val="005004E9"/>
    <w:rsid w:val="00502268"/>
    <w:rsid w:val="00503131"/>
    <w:rsid w:val="00503802"/>
    <w:rsid w:val="00503D7C"/>
    <w:rsid w:val="00504322"/>
    <w:rsid w:val="005044DC"/>
    <w:rsid w:val="00504521"/>
    <w:rsid w:val="005065C5"/>
    <w:rsid w:val="005069A3"/>
    <w:rsid w:val="00506FAB"/>
    <w:rsid w:val="0050718B"/>
    <w:rsid w:val="005102C8"/>
    <w:rsid w:val="005107E8"/>
    <w:rsid w:val="005114F3"/>
    <w:rsid w:val="005117B9"/>
    <w:rsid w:val="00512094"/>
    <w:rsid w:val="005123B2"/>
    <w:rsid w:val="00513042"/>
    <w:rsid w:val="005130DB"/>
    <w:rsid w:val="005132DF"/>
    <w:rsid w:val="00513313"/>
    <w:rsid w:val="00513681"/>
    <w:rsid w:val="00513857"/>
    <w:rsid w:val="00513EB0"/>
    <w:rsid w:val="00514633"/>
    <w:rsid w:val="0051473B"/>
    <w:rsid w:val="005147B1"/>
    <w:rsid w:val="00514EE6"/>
    <w:rsid w:val="005152ED"/>
    <w:rsid w:val="00515401"/>
    <w:rsid w:val="00515BAA"/>
    <w:rsid w:val="00515CF6"/>
    <w:rsid w:val="00515E58"/>
    <w:rsid w:val="0051669D"/>
    <w:rsid w:val="005174A9"/>
    <w:rsid w:val="005174C1"/>
    <w:rsid w:val="005200E6"/>
    <w:rsid w:val="00520668"/>
    <w:rsid w:val="00520753"/>
    <w:rsid w:val="00521D6F"/>
    <w:rsid w:val="00522166"/>
    <w:rsid w:val="00522435"/>
    <w:rsid w:val="00522468"/>
    <w:rsid w:val="00523094"/>
    <w:rsid w:val="00523D7B"/>
    <w:rsid w:val="00524241"/>
    <w:rsid w:val="00524252"/>
    <w:rsid w:val="00524FBC"/>
    <w:rsid w:val="00525DDC"/>
    <w:rsid w:val="00525EEB"/>
    <w:rsid w:val="00526262"/>
    <w:rsid w:val="00526DB2"/>
    <w:rsid w:val="00526E50"/>
    <w:rsid w:val="00527666"/>
    <w:rsid w:val="00527815"/>
    <w:rsid w:val="005278EA"/>
    <w:rsid w:val="00527918"/>
    <w:rsid w:val="005301A0"/>
    <w:rsid w:val="005305C4"/>
    <w:rsid w:val="00530C44"/>
    <w:rsid w:val="00530FB6"/>
    <w:rsid w:val="00531001"/>
    <w:rsid w:val="005317CE"/>
    <w:rsid w:val="00531B64"/>
    <w:rsid w:val="00532D2A"/>
    <w:rsid w:val="00532F95"/>
    <w:rsid w:val="005331B3"/>
    <w:rsid w:val="005334A5"/>
    <w:rsid w:val="00533A3E"/>
    <w:rsid w:val="00533D05"/>
    <w:rsid w:val="0053480E"/>
    <w:rsid w:val="00536191"/>
    <w:rsid w:val="005361D9"/>
    <w:rsid w:val="005364A1"/>
    <w:rsid w:val="00537150"/>
    <w:rsid w:val="00537757"/>
    <w:rsid w:val="00537E26"/>
    <w:rsid w:val="00540091"/>
    <w:rsid w:val="00540624"/>
    <w:rsid w:val="00540922"/>
    <w:rsid w:val="00541FB5"/>
    <w:rsid w:val="0054268D"/>
    <w:rsid w:val="00543989"/>
    <w:rsid w:val="00543ABC"/>
    <w:rsid w:val="005440B8"/>
    <w:rsid w:val="005442C9"/>
    <w:rsid w:val="00544555"/>
    <w:rsid w:val="005446EB"/>
    <w:rsid w:val="00544C90"/>
    <w:rsid w:val="005452B4"/>
    <w:rsid w:val="00545688"/>
    <w:rsid w:val="00545ADE"/>
    <w:rsid w:val="00545B43"/>
    <w:rsid w:val="00545DB3"/>
    <w:rsid w:val="005467D8"/>
    <w:rsid w:val="00546B2B"/>
    <w:rsid w:val="00546F85"/>
    <w:rsid w:val="00547AAC"/>
    <w:rsid w:val="00547E2F"/>
    <w:rsid w:val="00550009"/>
    <w:rsid w:val="00550256"/>
    <w:rsid w:val="00550845"/>
    <w:rsid w:val="005519FA"/>
    <w:rsid w:val="00551E26"/>
    <w:rsid w:val="00551F73"/>
    <w:rsid w:val="005525C3"/>
    <w:rsid w:val="00552A55"/>
    <w:rsid w:val="0055308C"/>
    <w:rsid w:val="0055309F"/>
    <w:rsid w:val="00553305"/>
    <w:rsid w:val="0055367C"/>
    <w:rsid w:val="00553B8F"/>
    <w:rsid w:val="00553CE6"/>
    <w:rsid w:val="00553E6E"/>
    <w:rsid w:val="00554010"/>
    <w:rsid w:val="0055421E"/>
    <w:rsid w:val="005549BA"/>
    <w:rsid w:val="005550C9"/>
    <w:rsid w:val="005553CB"/>
    <w:rsid w:val="005555AE"/>
    <w:rsid w:val="00556BE4"/>
    <w:rsid w:val="00556C06"/>
    <w:rsid w:val="00557FDC"/>
    <w:rsid w:val="005606A3"/>
    <w:rsid w:val="00560C2D"/>
    <w:rsid w:val="00561347"/>
    <w:rsid w:val="00561669"/>
    <w:rsid w:val="00562786"/>
    <w:rsid w:val="005627EF"/>
    <w:rsid w:val="00562EFF"/>
    <w:rsid w:val="00563906"/>
    <w:rsid w:val="00564258"/>
    <w:rsid w:val="0056441F"/>
    <w:rsid w:val="0056442E"/>
    <w:rsid w:val="005651DE"/>
    <w:rsid w:val="00565583"/>
    <w:rsid w:val="00565D97"/>
    <w:rsid w:val="00566DD3"/>
    <w:rsid w:val="00567014"/>
    <w:rsid w:val="00567F4C"/>
    <w:rsid w:val="005707FE"/>
    <w:rsid w:val="00570B30"/>
    <w:rsid w:val="005713EB"/>
    <w:rsid w:val="00571DF0"/>
    <w:rsid w:val="0057375B"/>
    <w:rsid w:val="005739A6"/>
    <w:rsid w:val="00573AE2"/>
    <w:rsid w:val="00573C59"/>
    <w:rsid w:val="00573CDC"/>
    <w:rsid w:val="00573D33"/>
    <w:rsid w:val="0057442A"/>
    <w:rsid w:val="00574560"/>
    <w:rsid w:val="005746B0"/>
    <w:rsid w:val="00574AD2"/>
    <w:rsid w:val="00574BFD"/>
    <w:rsid w:val="00574F96"/>
    <w:rsid w:val="0057513F"/>
    <w:rsid w:val="00576118"/>
    <w:rsid w:val="005763E4"/>
    <w:rsid w:val="005763E5"/>
    <w:rsid w:val="00576FDA"/>
    <w:rsid w:val="00577481"/>
    <w:rsid w:val="005775EE"/>
    <w:rsid w:val="00577E58"/>
    <w:rsid w:val="0058020C"/>
    <w:rsid w:val="00580DB0"/>
    <w:rsid w:val="00580FF1"/>
    <w:rsid w:val="00581578"/>
    <w:rsid w:val="0058165B"/>
    <w:rsid w:val="005822B2"/>
    <w:rsid w:val="00582507"/>
    <w:rsid w:val="00582A5A"/>
    <w:rsid w:val="00582D2A"/>
    <w:rsid w:val="00583247"/>
    <w:rsid w:val="00584455"/>
    <w:rsid w:val="005845D7"/>
    <w:rsid w:val="00584FAE"/>
    <w:rsid w:val="00585441"/>
    <w:rsid w:val="00585C55"/>
    <w:rsid w:val="0058613E"/>
    <w:rsid w:val="005864E1"/>
    <w:rsid w:val="00587795"/>
    <w:rsid w:val="005900BF"/>
    <w:rsid w:val="005903EE"/>
    <w:rsid w:val="00590572"/>
    <w:rsid w:val="00590735"/>
    <w:rsid w:val="00590C74"/>
    <w:rsid w:val="00590CE4"/>
    <w:rsid w:val="00590D2B"/>
    <w:rsid w:val="00591B17"/>
    <w:rsid w:val="0059200A"/>
    <w:rsid w:val="005921BB"/>
    <w:rsid w:val="00592F76"/>
    <w:rsid w:val="00593319"/>
    <w:rsid w:val="0059473F"/>
    <w:rsid w:val="00594BB2"/>
    <w:rsid w:val="00594ECB"/>
    <w:rsid w:val="00595EC3"/>
    <w:rsid w:val="005974E9"/>
    <w:rsid w:val="00597A86"/>
    <w:rsid w:val="00597B42"/>
    <w:rsid w:val="00597D12"/>
    <w:rsid w:val="00597DB3"/>
    <w:rsid w:val="005A0797"/>
    <w:rsid w:val="005A1C09"/>
    <w:rsid w:val="005A20D0"/>
    <w:rsid w:val="005A2C41"/>
    <w:rsid w:val="005A3385"/>
    <w:rsid w:val="005A3B5A"/>
    <w:rsid w:val="005A3FCE"/>
    <w:rsid w:val="005A41B5"/>
    <w:rsid w:val="005A435E"/>
    <w:rsid w:val="005A468D"/>
    <w:rsid w:val="005A477C"/>
    <w:rsid w:val="005A4980"/>
    <w:rsid w:val="005A4D26"/>
    <w:rsid w:val="005A5912"/>
    <w:rsid w:val="005A5DB7"/>
    <w:rsid w:val="005A5E9D"/>
    <w:rsid w:val="005A6732"/>
    <w:rsid w:val="005A680F"/>
    <w:rsid w:val="005A6FFD"/>
    <w:rsid w:val="005B0F6D"/>
    <w:rsid w:val="005B162D"/>
    <w:rsid w:val="005B2A36"/>
    <w:rsid w:val="005B2BA6"/>
    <w:rsid w:val="005B3777"/>
    <w:rsid w:val="005B3FE2"/>
    <w:rsid w:val="005B439A"/>
    <w:rsid w:val="005B4662"/>
    <w:rsid w:val="005B54D5"/>
    <w:rsid w:val="005B5D74"/>
    <w:rsid w:val="005B76CA"/>
    <w:rsid w:val="005B793D"/>
    <w:rsid w:val="005C0130"/>
    <w:rsid w:val="005C0FBC"/>
    <w:rsid w:val="005C22FF"/>
    <w:rsid w:val="005C23A7"/>
    <w:rsid w:val="005C2409"/>
    <w:rsid w:val="005C254E"/>
    <w:rsid w:val="005C27E1"/>
    <w:rsid w:val="005C2A74"/>
    <w:rsid w:val="005C39C8"/>
    <w:rsid w:val="005C459C"/>
    <w:rsid w:val="005C5870"/>
    <w:rsid w:val="005C587B"/>
    <w:rsid w:val="005C5AFB"/>
    <w:rsid w:val="005C640E"/>
    <w:rsid w:val="005C69FE"/>
    <w:rsid w:val="005C731E"/>
    <w:rsid w:val="005C75B7"/>
    <w:rsid w:val="005C77C9"/>
    <w:rsid w:val="005D0736"/>
    <w:rsid w:val="005D0EC1"/>
    <w:rsid w:val="005D102E"/>
    <w:rsid w:val="005D2018"/>
    <w:rsid w:val="005D2D7C"/>
    <w:rsid w:val="005D3250"/>
    <w:rsid w:val="005D3552"/>
    <w:rsid w:val="005D478A"/>
    <w:rsid w:val="005D4D3E"/>
    <w:rsid w:val="005D4E0A"/>
    <w:rsid w:val="005D685E"/>
    <w:rsid w:val="005D6C7C"/>
    <w:rsid w:val="005D7239"/>
    <w:rsid w:val="005D79BC"/>
    <w:rsid w:val="005D7B4A"/>
    <w:rsid w:val="005D7E66"/>
    <w:rsid w:val="005E053A"/>
    <w:rsid w:val="005E07E0"/>
    <w:rsid w:val="005E1576"/>
    <w:rsid w:val="005E1CF5"/>
    <w:rsid w:val="005E2496"/>
    <w:rsid w:val="005E24CE"/>
    <w:rsid w:val="005E304F"/>
    <w:rsid w:val="005E33BF"/>
    <w:rsid w:val="005E36BD"/>
    <w:rsid w:val="005E3B46"/>
    <w:rsid w:val="005E4820"/>
    <w:rsid w:val="005E5432"/>
    <w:rsid w:val="005E56DB"/>
    <w:rsid w:val="005E667B"/>
    <w:rsid w:val="005E6C31"/>
    <w:rsid w:val="005E6D2A"/>
    <w:rsid w:val="005E6FCE"/>
    <w:rsid w:val="005E7037"/>
    <w:rsid w:val="005E7BA0"/>
    <w:rsid w:val="005F078C"/>
    <w:rsid w:val="005F0DCF"/>
    <w:rsid w:val="005F10F6"/>
    <w:rsid w:val="005F18FE"/>
    <w:rsid w:val="005F19B6"/>
    <w:rsid w:val="005F1C04"/>
    <w:rsid w:val="005F230E"/>
    <w:rsid w:val="005F26AA"/>
    <w:rsid w:val="005F4284"/>
    <w:rsid w:val="005F4E85"/>
    <w:rsid w:val="005F505F"/>
    <w:rsid w:val="005F5D4C"/>
    <w:rsid w:val="005F5E75"/>
    <w:rsid w:val="005F6005"/>
    <w:rsid w:val="005F7470"/>
    <w:rsid w:val="006000DF"/>
    <w:rsid w:val="00600722"/>
    <w:rsid w:val="00600987"/>
    <w:rsid w:val="00600BB4"/>
    <w:rsid w:val="00600F5D"/>
    <w:rsid w:val="00601386"/>
    <w:rsid w:val="0060225D"/>
    <w:rsid w:val="006022DE"/>
    <w:rsid w:val="0060294B"/>
    <w:rsid w:val="00602D48"/>
    <w:rsid w:val="00603635"/>
    <w:rsid w:val="006041CF"/>
    <w:rsid w:val="00606182"/>
    <w:rsid w:val="00606C54"/>
    <w:rsid w:val="00606DCC"/>
    <w:rsid w:val="0060708C"/>
    <w:rsid w:val="006070AE"/>
    <w:rsid w:val="006078E0"/>
    <w:rsid w:val="00607A1A"/>
    <w:rsid w:val="0061202D"/>
    <w:rsid w:val="00612AB2"/>
    <w:rsid w:val="00613561"/>
    <w:rsid w:val="00613635"/>
    <w:rsid w:val="0061365A"/>
    <w:rsid w:val="00614547"/>
    <w:rsid w:val="006145F1"/>
    <w:rsid w:val="006147DD"/>
    <w:rsid w:val="00614961"/>
    <w:rsid w:val="00614D09"/>
    <w:rsid w:val="00615268"/>
    <w:rsid w:val="0061578B"/>
    <w:rsid w:val="00615DD3"/>
    <w:rsid w:val="00615DF2"/>
    <w:rsid w:val="00616792"/>
    <w:rsid w:val="00616CE4"/>
    <w:rsid w:val="006174BA"/>
    <w:rsid w:val="006204B4"/>
    <w:rsid w:val="00620BB1"/>
    <w:rsid w:val="0062145F"/>
    <w:rsid w:val="006215BE"/>
    <w:rsid w:val="00622017"/>
    <w:rsid w:val="0062229A"/>
    <w:rsid w:val="0062284C"/>
    <w:rsid w:val="00622F6A"/>
    <w:rsid w:val="00623970"/>
    <w:rsid w:val="00623C2D"/>
    <w:rsid w:val="00623E35"/>
    <w:rsid w:val="00624E26"/>
    <w:rsid w:val="00624ED7"/>
    <w:rsid w:val="00625F17"/>
    <w:rsid w:val="006268C9"/>
    <w:rsid w:val="006269CD"/>
    <w:rsid w:val="00627A94"/>
    <w:rsid w:val="00627CD7"/>
    <w:rsid w:val="00630044"/>
    <w:rsid w:val="0063012B"/>
    <w:rsid w:val="006303E7"/>
    <w:rsid w:val="00630765"/>
    <w:rsid w:val="00630F15"/>
    <w:rsid w:val="0063109D"/>
    <w:rsid w:val="006314E7"/>
    <w:rsid w:val="00631688"/>
    <w:rsid w:val="00632C2A"/>
    <w:rsid w:val="006332D1"/>
    <w:rsid w:val="00633A96"/>
    <w:rsid w:val="00633DE2"/>
    <w:rsid w:val="0063461B"/>
    <w:rsid w:val="00634639"/>
    <w:rsid w:val="00635719"/>
    <w:rsid w:val="00636079"/>
    <w:rsid w:val="00637690"/>
    <w:rsid w:val="00637882"/>
    <w:rsid w:val="006379DA"/>
    <w:rsid w:val="00637DFF"/>
    <w:rsid w:val="006409AE"/>
    <w:rsid w:val="006409B9"/>
    <w:rsid w:val="00640B04"/>
    <w:rsid w:val="00640FB7"/>
    <w:rsid w:val="00641721"/>
    <w:rsid w:val="0064260D"/>
    <w:rsid w:val="00642C72"/>
    <w:rsid w:val="00642D3E"/>
    <w:rsid w:val="00643541"/>
    <w:rsid w:val="00644FDE"/>
    <w:rsid w:val="00645304"/>
    <w:rsid w:val="00645C6D"/>
    <w:rsid w:val="00645D04"/>
    <w:rsid w:val="006466BB"/>
    <w:rsid w:val="00647271"/>
    <w:rsid w:val="00647772"/>
    <w:rsid w:val="006504CD"/>
    <w:rsid w:val="0065083E"/>
    <w:rsid w:val="00650932"/>
    <w:rsid w:val="006513AF"/>
    <w:rsid w:val="006515DD"/>
    <w:rsid w:val="00652A45"/>
    <w:rsid w:val="00653291"/>
    <w:rsid w:val="006538DF"/>
    <w:rsid w:val="00654153"/>
    <w:rsid w:val="0065435D"/>
    <w:rsid w:val="00654555"/>
    <w:rsid w:val="0065579A"/>
    <w:rsid w:val="006558B4"/>
    <w:rsid w:val="00655EC5"/>
    <w:rsid w:val="00656BCF"/>
    <w:rsid w:val="00656F07"/>
    <w:rsid w:val="0065724D"/>
    <w:rsid w:val="0065728A"/>
    <w:rsid w:val="0065768D"/>
    <w:rsid w:val="00657B3B"/>
    <w:rsid w:val="006610EF"/>
    <w:rsid w:val="006616DE"/>
    <w:rsid w:val="00662C9C"/>
    <w:rsid w:val="0066373B"/>
    <w:rsid w:val="00663AA5"/>
    <w:rsid w:val="00663E30"/>
    <w:rsid w:val="006642A2"/>
    <w:rsid w:val="0066457F"/>
    <w:rsid w:val="0066501F"/>
    <w:rsid w:val="006659BC"/>
    <w:rsid w:val="00665E06"/>
    <w:rsid w:val="00666083"/>
    <w:rsid w:val="0066616D"/>
    <w:rsid w:val="00666D18"/>
    <w:rsid w:val="00667CD7"/>
    <w:rsid w:val="00670FBB"/>
    <w:rsid w:val="0067253C"/>
    <w:rsid w:val="0067305B"/>
    <w:rsid w:val="00673140"/>
    <w:rsid w:val="00673F57"/>
    <w:rsid w:val="00674046"/>
    <w:rsid w:val="00674409"/>
    <w:rsid w:val="0067457D"/>
    <w:rsid w:val="006746D2"/>
    <w:rsid w:val="006747DB"/>
    <w:rsid w:val="00675303"/>
    <w:rsid w:val="00675639"/>
    <w:rsid w:val="0067572B"/>
    <w:rsid w:val="0067610A"/>
    <w:rsid w:val="0067673B"/>
    <w:rsid w:val="00676D39"/>
    <w:rsid w:val="006770FD"/>
    <w:rsid w:val="00677C03"/>
    <w:rsid w:val="00680544"/>
    <w:rsid w:val="006805A6"/>
    <w:rsid w:val="00680701"/>
    <w:rsid w:val="00681B85"/>
    <w:rsid w:val="006820D7"/>
    <w:rsid w:val="00682233"/>
    <w:rsid w:val="00683167"/>
    <w:rsid w:val="006836AF"/>
    <w:rsid w:val="00683C46"/>
    <w:rsid w:val="006840A6"/>
    <w:rsid w:val="00684CC1"/>
    <w:rsid w:val="00684D0B"/>
    <w:rsid w:val="00685A59"/>
    <w:rsid w:val="00686969"/>
    <w:rsid w:val="00686A27"/>
    <w:rsid w:val="006873F5"/>
    <w:rsid w:val="006874FE"/>
    <w:rsid w:val="00687D68"/>
    <w:rsid w:val="00687DB9"/>
    <w:rsid w:val="0069002D"/>
    <w:rsid w:val="006906C5"/>
    <w:rsid w:val="00691413"/>
    <w:rsid w:val="006919CC"/>
    <w:rsid w:val="00692191"/>
    <w:rsid w:val="00692876"/>
    <w:rsid w:val="00692F78"/>
    <w:rsid w:val="0069314A"/>
    <w:rsid w:val="00694539"/>
    <w:rsid w:val="00694799"/>
    <w:rsid w:val="006949FB"/>
    <w:rsid w:val="00694A6A"/>
    <w:rsid w:val="0069549C"/>
    <w:rsid w:val="00695892"/>
    <w:rsid w:val="006959F5"/>
    <w:rsid w:val="00695F8D"/>
    <w:rsid w:val="00696104"/>
    <w:rsid w:val="006964C7"/>
    <w:rsid w:val="00696C4C"/>
    <w:rsid w:val="006971A9"/>
    <w:rsid w:val="00697784"/>
    <w:rsid w:val="00697C41"/>
    <w:rsid w:val="00697D26"/>
    <w:rsid w:val="00697FE2"/>
    <w:rsid w:val="006A0009"/>
    <w:rsid w:val="006A0024"/>
    <w:rsid w:val="006A0295"/>
    <w:rsid w:val="006A0B02"/>
    <w:rsid w:val="006A0C02"/>
    <w:rsid w:val="006A116D"/>
    <w:rsid w:val="006A1DA7"/>
    <w:rsid w:val="006A2337"/>
    <w:rsid w:val="006A2600"/>
    <w:rsid w:val="006A279B"/>
    <w:rsid w:val="006A2F93"/>
    <w:rsid w:val="006A34B0"/>
    <w:rsid w:val="006A3D1B"/>
    <w:rsid w:val="006A41B4"/>
    <w:rsid w:val="006A50C2"/>
    <w:rsid w:val="006A5EC3"/>
    <w:rsid w:val="006A6A28"/>
    <w:rsid w:val="006A7407"/>
    <w:rsid w:val="006A7BF2"/>
    <w:rsid w:val="006B013F"/>
    <w:rsid w:val="006B074E"/>
    <w:rsid w:val="006B0D82"/>
    <w:rsid w:val="006B10CF"/>
    <w:rsid w:val="006B119E"/>
    <w:rsid w:val="006B11A2"/>
    <w:rsid w:val="006B15EE"/>
    <w:rsid w:val="006B1E89"/>
    <w:rsid w:val="006B266D"/>
    <w:rsid w:val="006B30DB"/>
    <w:rsid w:val="006B381D"/>
    <w:rsid w:val="006B3F3D"/>
    <w:rsid w:val="006B4878"/>
    <w:rsid w:val="006B5140"/>
    <w:rsid w:val="006B5150"/>
    <w:rsid w:val="006B554A"/>
    <w:rsid w:val="006B5A94"/>
    <w:rsid w:val="006B6A60"/>
    <w:rsid w:val="006B7B43"/>
    <w:rsid w:val="006C11DA"/>
    <w:rsid w:val="006C12F1"/>
    <w:rsid w:val="006C154D"/>
    <w:rsid w:val="006C2214"/>
    <w:rsid w:val="006C441D"/>
    <w:rsid w:val="006C4DEA"/>
    <w:rsid w:val="006C5B23"/>
    <w:rsid w:val="006C5DDF"/>
    <w:rsid w:val="006C6045"/>
    <w:rsid w:val="006C6198"/>
    <w:rsid w:val="006C69CE"/>
    <w:rsid w:val="006C6B2B"/>
    <w:rsid w:val="006C7119"/>
    <w:rsid w:val="006C7D4B"/>
    <w:rsid w:val="006D0025"/>
    <w:rsid w:val="006D0D3B"/>
    <w:rsid w:val="006D0FE9"/>
    <w:rsid w:val="006D19BD"/>
    <w:rsid w:val="006D20C1"/>
    <w:rsid w:val="006D230A"/>
    <w:rsid w:val="006D2B83"/>
    <w:rsid w:val="006D2D55"/>
    <w:rsid w:val="006D403B"/>
    <w:rsid w:val="006D414B"/>
    <w:rsid w:val="006D46C7"/>
    <w:rsid w:val="006D4719"/>
    <w:rsid w:val="006D5646"/>
    <w:rsid w:val="006D6A44"/>
    <w:rsid w:val="006D74F3"/>
    <w:rsid w:val="006D7EC5"/>
    <w:rsid w:val="006E09E7"/>
    <w:rsid w:val="006E156F"/>
    <w:rsid w:val="006E16A7"/>
    <w:rsid w:val="006E1AD8"/>
    <w:rsid w:val="006E1EC2"/>
    <w:rsid w:val="006E2504"/>
    <w:rsid w:val="006E2A8B"/>
    <w:rsid w:val="006E2D18"/>
    <w:rsid w:val="006E2D75"/>
    <w:rsid w:val="006E2E25"/>
    <w:rsid w:val="006E3450"/>
    <w:rsid w:val="006E3495"/>
    <w:rsid w:val="006E35B4"/>
    <w:rsid w:val="006E365E"/>
    <w:rsid w:val="006E4040"/>
    <w:rsid w:val="006E530B"/>
    <w:rsid w:val="006E672B"/>
    <w:rsid w:val="006E7421"/>
    <w:rsid w:val="006F0FBE"/>
    <w:rsid w:val="006F11DA"/>
    <w:rsid w:val="006F1B08"/>
    <w:rsid w:val="006F2548"/>
    <w:rsid w:val="006F25BA"/>
    <w:rsid w:val="006F3947"/>
    <w:rsid w:val="006F470B"/>
    <w:rsid w:val="006F5100"/>
    <w:rsid w:val="006F5B82"/>
    <w:rsid w:val="006F6110"/>
    <w:rsid w:val="006F622E"/>
    <w:rsid w:val="006F626F"/>
    <w:rsid w:val="006F71B5"/>
    <w:rsid w:val="006F72BB"/>
    <w:rsid w:val="006F75F9"/>
    <w:rsid w:val="006F7D5F"/>
    <w:rsid w:val="006F7FEA"/>
    <w:rsid w:val="0070144C"/>
    <w:rsid w:val="00701D4C"/>
    <w:rsid w:val="007021B8"/>
    <w:rsid w:val="007029EB"/>
    <w:rsid w:val="00702ADB"/>
    <w:rsid w:val="00702EC0"/>
    <w:rsid w:val="00702FC3"/>
    <w:rsid w:val="007039CA"/>
    <w:rsid w:val="00703D8E"/>
    <w:rsid w:val="007044D0"/>
    <w:rsid w:val="00705169"/>
    <w:rsid w:val="007051AB"/>
    <w:rsid w:val="007054CB"/>
    <w:rsid w:val="00705A76"/>
    <w:rsid w:val="00705F03"/>
    <w:rsid w:val="00706EE9"/>
    <w:rsid w:val="00710727"/>
    <w:rsid w:val="00710963"/>
    <w:rsid w:val="00710C9D"/>
    <w:rsid w:val="00710F27"/>
    <w:rsid w:val="00710F92"/>
    <w:rsid w:val="00712E2F"/>
    <w:rsid w:val="007144F6"/>
    <w:rsid w:val="007147BC"/>
    <w:rsid w:val="00714A83"/>
    <w:rsid w:val="00714F24"/>
    <w:rsid w:val="007152F9"/>
    <w:rsid w:val="00716719"/>
    <w:rsid w:val="0071708C"/>
    <w:rsid w:val="0072012B"/>
    <w:rsid w:val="0072016D"/>
    <w:rsid w:val="007208E7"/>
    <w:rsid w:val="0072093C"/>
    <w:rsid w:val="00720ADE"/>
    <w:rsid w:val="007215E5"/>
    <w:rsid w:val="00722737"/>
    <w:rsid w:val="00722873"/>
    <w:rsid w:val="007228C3"/>
    <w:rsid w:val="00722E8D"/>
    <w:rsid w:val="007233E9"/>
    <w:rsid w:val="00723D9B"/>
    <w:rsid w:val="007244A5"/>
    <w:rsid w:val="00725D38"/>
    <w:rsid w:val="00725D6C"/>
    <w:rsid w:val="0072626B"/>
    <w:rsid w:val="007269CE"/>
    <w:rsid w:val="00726AEB"/>
    <w:rsid w:val="00726D78"/>
    <w:rsid w:val="00726E02"/>
    <w:rsid w:val="00726FB2"/>
    <w:rsid w:val="00727B7D"/>
    <w:rsid w:val="00727D55"/>
    <w:rsid w:val="0073003E"/>
    <w:rsid w:val="0073033A"/>
    <w:rsid w:val="00731809"/>
    <w:rsid w:val="00731BCA"/>
    <w:rsid w:val="00731FC8"/>
    <w:rsid w:val="007325EB"/>
    <w:rsid w:val="007327DD"/>
    <w:rsid w:val="00732B9C"/>
    <w:rsid w:val="00732F5F"/>
    <w:rsid w:val="0073317F"/>
    <w:rsid w:val="007331FF"/>
    <w:rsid w:val="00733206"/>
    <w:rsid w:val="007333D0"/>
    <w:rsid w:val="007335E7"/>
    <w:rsid w:val="00733768"/>
    <w:rsid w:val="00734F94"/>
    <w:rsid w:val="00735569"/>
    <w:rsid w:val="0073562F"/>
    <w:rsid w:val="00736001"/>
    <w:rsid w:val="007364B1"/>
    <w:rsid w:val="00736FAD"/>
    <w:rsid w:val="007401C5"/>
    <w:rsid w:val="00740A1F"/>
    <w:rsid w:val="00741529"/>
    <w:rsid w:val="00741B06"/>
    <w:rsid w:val="00741DB2"/>
    <w:rsid w:val="00742219"/>
    <w:rsid w:val="00742806"/>
    <w:rsid w:val="00742A05"/>
    <w:rsid w:val="00742A8C"/>
    <w:rsid w:val="00743213"/>
    <w:rsid w:val="00743949"/>
    <w:rsid w:val="00743E6B"/>
    <w:rsid w:val="00745547"/>
    <w:rsid w:val="00745819"/>
    <w:rsid w:val="0074653B"/>
    <w:rsid w:val="00747BCF"/>
    <w:rsid w:val="00747FE5"/>
    <w:rsid w:val="0075021E"/>
    <w:rsid w:val="00750B8B"/>
    <w:rsid w:val="00751196"/>
    <w:rsid w:val="00751763"/>
    <w:rsid w:val="00751771"/>
    <w:rsid w:val="007518A7"/>
    <w:rsid w:val="00752AF5"/>
    <w:rsid w:val="00752EB9"/>
    <w:rsid w:val="00753D45"/>
    <w:rsid w:val="00753DEE"/>
    <w:rsid w:val="0075404B"/>
    <w:rsid w:val="00754520"/>
    <w:rsid w:val="0075481C"/>
    <w:rsid w:val="00754844"/>
    <w:rsid w:val="00754D61"/>
    <w:rsid w:val="00754E25"/>
    <w:rsid w:val="007551DA"/>
    <w:rsid w:val="0075563F"/>
    <w:rsid w:val="007556A2"/>
    <w:rsid w:val="0075577D"/>
    <w:rsid w:val="007558AA"/>
    <w:rsid w:val="00755BF0"/>
    <w:rsid w:val="00755FBB"/>
    <w:rsid w:val="00756365"/>
    <w:rsid w:val="00757DF4"/>
    <w:rsid w:val="00760599"/>
    <w:rsid w:val="00760CCB"/>
    <w:rsid w:val="00760DF8"/>
    <w:rsid w:val="00760E8E"/>
    <w:rsid w:val="007620DB"/>
    <w:rsid w:val="00762537"/>
    <w:rsid w:val="00762F77"/>
    <w:rsid w:val="00763743"/>
    <w:rsid w:val="00763ECD"/>
    <w:rsid w:val="00764368"/>
    <w:rsid w:val="00764501"/>
    <w:rsid w:val="007649B5"/>
    <w:rsid w:val="00765E63"/>
    <w:rsid w:val="00766A59"/>
    <w:rsid w:val="00767A0E"/>
    <w:rsid w:val="00770459"/>
    <w:rsid w:val="00770472"/>
    <w:rsid w:val="007706C0"/>
    <w:rsid w:val="00770B88"/>
    <w:rsid w:val="00770FBA"/>
    <w:rsid w:val="00771015"/>
    <w:rsid w:val="00771CCF"/>
    <w:rsid w:val="00771DE0"/>
    <w:rsid w:val="00773965"/>
    <w:rsid w:val="00774D5B"/>
    <w:rsid w:val="00774DEC"/>
    <w:rsid w:val="00775B28"/>
    <w:rsid w:val="00775C9F"/>
    <w:rsid w:val="007762E2"/>
    <w:rsid w:val="00776336"/>
    <w:rsid w:val="007778F0"/>
    <w:rsid w:val="00777B58"/>
    <w:rsid w:val="00777D5D"/>
    <w:rsid w:val="00780BD4"/>
    <w:rsid w:val="00780FCC"/>
    <w:rsid w:val="007817AE"/>
    <w:rsid w:val="00781F95"/>
    <w:rsid w:val="0078243B"/>
    <w:rsid w:val="00782C79"/>
    <w:rsid w:val="00783C3C"/>
    <w:rsid w:val="00783E9C"/>
    <w:rsid w:val="00784023"/>
    <w:rsid w:val="00784562"/>
    <w:rsid w:val="00784CA3"/>
    <w:rsid w:val="007852F9"/>
    <w:rsid w:val="00785C78"/>
    <w:rsid w:val="00785E0E"/>
    <w:rsid w:val="0078720A"/>
    <w:rsid w:val="00787874"/>
    <w:rsid w:val="007878A8"/>
    <w:rsid w:val="00787DEC"/>
    <w:rsid w:val="0079012F"/>
    <w:rsid w:val="007905CB"/>
    <w:rsid w:val="00790A77"/>
    <w:rsid w:val="00790D0A"/>
    <w:rsid w:val="007911BA"/>
    <w:rsid w:val="00791731"/>
    <w:rsid w:val="00791923"/>
    <w:rsid w:val="007924BA"/>
    <w:rsid w:val="007937C4"/>
    <w:rsid w:val="00793874"/>
    <w:rsid w:val="00793C57"/>
    <w:rsid w:val="00793EC5"/>
    <w:rsid w:val="00793ED2"/>
    <w:rsid w:val="007943E6"/>
    <w:rsid w:val="00794821"/>
    <w:rsid w:val="00794A61"/>
    <w:rsid w:val="0079523A"/>
    <w:rsid w:val="0079557D"/>
    <w:rsid w:val="0079562A"/>
    <w:rsid w:val="0079666E"/>
    <w:rsid w:val="007969B8"/>
    <w:rsid w:val="007972B4"/>
    <w:rsid w:val="00797A71"/>
    <w:rsid w:val="007A07EB"/>
    <w:rsid w:val="007A0DE6"/>
    <w:rsid w:val="007A1FB4"/>
    <w:rsid w:val="007A246F"/>
    <w:rsid w:val="007A272F"/>
    <w:rsid w:val="007A37E5"/>
    <w:rsid w:val="007A3BFC"/>
    <w:rsid w:val="007A4254"/>
    <w:rsid w:val="007A4418"/>
    <w:rsid w:val="007A490E"/>
    <w:rsid w:val="007A4E5A"/>
    <w:rsid w:val="007A5155"/>
    <w:rsid w:val="007A537A"/>
    <w:rsid w:val="007A62EF"/>
    <w:rsid w:val="007A692A"/>
    <w:rsid w:val="007A6B62"/>
    <w:rsid w:val="007A6DEE"/>
    <w:rsid w:val="007A702D"/>
    <w:rsid w:val="007B1696"/>
    <w:rsid w:val="007B1A22"/>
    <w:rsid w:val="007B1B3B"/>
    <w:rsid w:val="007B1C22"/>
    <w:rsid w:val="007B1D55"/>
    <w:rsid w:val="007B2017"/>
    <w:rsid w:val="007B28A5"/>
    <w:rsid w:val="007B2D9E"/>
    <w:rsid w:val="007B3F08"/>
    <w:rsid w:val="007B4909"/>
    <w:rsid w:val="007B4D1B"/>
    <w:rsid w:val="007B4FF4"/>
    <w:rsid w:val="007B55AE"/>
    <w:rsid w:val="007B55C9"/>
    <w:rsid w:val="007B6E0F"/>
    <w:rsid w:val="007B6EAB"/>
    <w:rsid w:val="007B76FB"/>
    <w:rsid w:val="007B787C"/>
    <w:rsid w:val="007B78FC"/>
    <w:rsid w:val="007B7BC7"/>
    <w:rsid w:val="007C2640"/>
    <w:rsid w:val="007C3040"/>
    <w:rsid w:val="007C3499"/>
    <w:rsid w:val="007C3650"/>
    <w:rsid w:val="007C3F43"/>
    <w:rsid w:val="007C4C42"/>
    <w:rsid w:val="007C4F78"/>
    <w:rsid w:val="007C727A"/>
    <w:rsid w:val="007C7336"/>
    <w:rsid w:val="007C7613"/>
    <w:rsid w:val="007C7676"/>
    <w:rsid w:val="007C7D17"/>
    <w:rsid w:val="007D0358"/>
    <w:rsid w:val="007D06C5"/>
    <w:rsid w:val="007D09A6"/>
    <w:rsid w:val="007D20DC"/>
    <w:rsid w:val="007D24C4"/>
    <w:rsid w:val="007D25B5"/>
    <w:rsid w:val="007D25BD"/>
    <w:rsid w:val="007D307D"/>
    <w:rsid w:val="007D35D2"/>
    <w:rsid w:val="007D36D3"/>
    <w:rsid w:val="007D36F2"/>
    <w:rsid w:val="007D4FD2"/>
    <w:rsid w:val="007D532B"/>
    <w:rsid w:val="007D59B6"/>
    <w:rsid w:val="007D5F6C"/>
    <w:rsid w:val="007D64E2"/>
    <w:rsid w:val="007D6E13"/>
    <w:rsid w:val="007D7945"/>
    <w:rsid w:val="007E0972"/>
    <w:rsid w:val="007E131E"/>
    <w:rsid w:val="007E17BB"/>
    <w:rsid w:val="007E1F29"/>
    <w:rsid w:val="007E1F5C"/>
    <w:rsid w:val="007E2403"/>
    <w:rsid w:val="007E2B54"/>
    <w:rsid w:val="007E3192"/>
    <w:rsid w:val="007E37A3"/>
    <w:rsid w:val="007E4031"/>
    <w:rsid w:val="007E4103"/>
    <w:rsid w:val="007E46F3"/>
    <w:rsid w:val="007E4728"/>
    <w:rsid w:val="007E58AB"/>
    <w:rsid w:val="007E59A4"/>
    <w:rsid w:val="007E5B9D"/>
    <w:rsid w:val="007E5C1A"/>
    <w:rsid w:val="007E6C9D"/>
    <w:rsid w:val="007E6E6E"/>
    <w:rsid w:val="007E7458"/>
    <w:rsid w:val="007F063F"/>
    <w:rsid w:val="007F0B90"/>
    <w:rsid w:val="007F2EAE"/>
    <w:rsid w:val="007F3D35"/>
    <w:rsid w:val="007F4E36"/>
    <w:rsid w:val="007F5155"/>
    <w:rsid w:val="007F61C7"/>
    <w:rsid w:val="007F62E7"/>
    <w:rsid w:val="007F6A02"/>
    <w:rsid w:val="007F72C9"/>
    <w:rsid w:val="007F7FED"/>
    <w:rsid w:val="0080162B"/>
    <w:rsid w:val="00801F1A"/>
    <w:rsid w:val="00802346"/>
    <w:rsid w:val="00802619"/>
    <w:rsid w:val="0080276C"/>
    <w:rsid w:val="00802B93"/>
    <w:rsid w:val="00802F14"/>
    <w:rsid w:val="00802F2F"/>
    <w:rsid w:val="00803953"/>
    <w:rsid w:val="008040A3"/>
    <w:rsid w:val="00804245"/>
    <w:rsid w:val="00804404"/>
    <w:rsid w:val="00804A43"/>
    <w:rsid w:val="00804B7D"/>
    <w:rsid w:val="00804E5C"/>
    <w:rsid w:val="008051FE"/>
    <w:rsid w:val="0080558A"/>
    <w:rsid w:val="00805A63"/>
    <w:rsid w:val="00806C85"/>
    <w:rsid w:val="00807430"/>
    <w:rsid w:val="00807468"/>
    <w:rsid w:val="00807A88"/>
    <w:rsid w:val="00807DA0"/>
    <w:rsid w:val="00810579"/>
    <w:rsid w:val="008109F0"/>
    <w:rsid w:val="008109F3"/>
    <w:rsid w:val="00812018"/>
    <w:rsid w:val="00812443"/>
    <w:rsid w:val="00812D61"/>
    <w:rsid w:val="00812E56"/>
    <w:rsid w:val="0081370F"/>
    <w:rsid w:val="008146FB"/>
    <w:rsid w:val="00815148"/>
    <w:rsid w:val="0081587D"/>
    <w:rsid w:val="0081591A"/>
    <w:rsid w:val="008163B7"/>
    <w:rsid w:val="00816793"/>
    <w:rsid w:val="00816CBD"/>
    <w:rsid w:val="008176DA"/>
    <w:rsid w:val="00820037"/>
    <w:rsid w:val="00820E7D"/>
    <w:rsid w:val="008227BD"/>
    <w:rsid w:val="0082295F"/>
    <w:rsid w:val="00822FC3"/>
    <w:rsid w:val="008230FF"/>
    <w:rsid w:val="0082326A"/>
    <w:rsid w:val="00823C85"/>
    <w:rsid w:val="00823CC1"/>
    <w:rsid w:val="00823DD3"/>
    <w:rsid w:val="008245B9"/>
    <w:rsid w:val="0082475D"/>
    <w:rsid w:val="008248A0"/>
    <w:rsid w:val="00824E03"/>
    <w:rsid w:val="00826594"/>
    <w:rsid w:val="0082707D"/>
    <w:rsid w:val="0082727A"/>
    <w:rsid w:val="00827682"/>
    <w:rsid w:val="008278B6"/>
    <w:rsid w:val="0083037B"/>
    <w:rsid w:val="0083055C"/>
    <w:rsid w:val="00830646"/>
    <w:rsid w:val="00830888"/>
    <w:rsid w:val="00830C1B"/>
    <w:rsid w:val="00830C38"/>
    <w:rsid w:val="00830CA5"/>
    <w:rsid w:val="00830FD7"/>
    <w:rsid w:val="008310CC"/>
    <w:rsid w:val="00831120"/>
    <w:rsid w:val="00831372"/>
    <w:rsid w:val="00831678"/>
    <w:rsid w:val="00831A4E"/>
    <w:rsid w:val="00831EB4"/>
    <w:rsid w:val="008330F3"/>
    <w:rsid w:val="00833864"/>
    <w:rsid w:val="00834D6B"/>
    <w:rsid w:val="00835720"/>
    <w:rsid w:val="0083615E"/>
    <w:rsid w:val="008362F2"/>
    <w:rsid w:val="008367F0"/>
    <w:rsid w:val="00836C8F"/>
    <w:rsid w:val="00836EA4"/>
    <w:rsid w:val="00837B8E"/>
    <w:rsid w:val="0084034F"/>
    <w:rsid w:val="00841279"/>
    <w:rsid w:val="008418B9"/>
    <w:rsid w:val="00842147"/>
    <w:rsid w:val="008427A7"/>
    <w:rsid w:val="00842826"/>
    <w:rsid w:val="008439E5"/>
    <w:rsid w:val="00843AD6"/>
    <w:rsid w:val="00843D59"/>
    <w:rsid w:val="00844292"/>
    <w:rsid w:val="0084453D"/>
    <w:rsid w:val="00844B2E"/>
    <w:rsid w:val="00844C59"/>
    <w:rsid w:val="00844CA5"/>
    <w:rsid w:val="00844EF8"/>
    <w:rsid w:val="00844F48"/>
    <w:rsid w:val="0084622B"/>
    <w:rsid w:val="008466F0"/>
    <w:rsid w:val="00846B66"/>
    <w:rsid w:val="00846F06"/>
    <w:rsid w:val="008475C2"/>
    <w:rsid w:val="0085079C"/>
    <w:rsid w:val="008509F8"/>
    <w:rsid w:val="00850B4A"/>
    <w:rsid w:val="008510BE"/>
    <w:rsid w:val="0085118A"/>
    <w:rsid w:val="00851D16"/>
    <w:rsid w:val="00852153"/>
    <w:rsid w:val="00852CD3"/>
    <w:rsid w:val="008537A4"/>
    <w:rsid w:val="00853960"/>
    <w:rsid w:val="008539B3"/>
    <w:rsid w:val="0085486D"/>
    <w:rsid w:val="00854BA3"/>
    <w:rsid w:val="0085519D"/>
    <w:rsid w:val="00855A87"/>
    <w:rsid w:val="00855EDE"/>
    <w:rsid w:val="008561F5"/>
    <w:rsid w:val="008568E9"/>
    <w:rsid w:val="00856C9E"/>
    <w:rsid w:val="00856F84"/>
    <w:rsid w:val="008572FD"/>
    <w:rsid w:val="00857C21"/>
    <w:rsid w:val="008607EF"/>
    <w:rsid w:val="00860F1C"/>
    <w:rsid w:val="008610D5"/>
    <w:rsid w:val="00861144"/>
    <w:rsid w:val="008623CB"/>
    <w:rsid w:val="00862551"/>
    <w:rsid w:val="00862710"/>
    <w:rsid w:val="00863217"/>
    <w:rsid w:val="008635B9"/>
    <w:rsid w:val="00863C83"/>
    <w:rsid w:val="00864DF1"/>
    <w:rsid w:val="00865DB2"/>
    <w:rsid w:val="00866AD2"/>
    <w:rsid w:val="00866F3C"/>
    <w:rsid w:val="00867370"/>
    <w:rsid w:val="008676A1"/>
    <w:rsid w:val="008703F1"/>
    <w:rsid w:val="008707FF"/>
    <w:rsid w:val="00871EBB"/>
    <w:rsid w:val="00872F63"/>
    <w:rsid w:val="00875147"/>
    <w:rsid w:val="008752F8"/>
    <w:rsid w:val="00875F17"/>
    <w:rsid w:val="0087621C"/>
    <w:rsid w:val="00876658"/>
    <w:rsid w:val="00876909"/>
    <w:rsid w:val="00876CC4"/>
    <w:rsid w:val="00877413"/>
    <w:rsid w:val="008800ED"/>
    <w:rsid w:val="008803C3"/>
    <w:rsid w:val="008808D5"/>
    <w:rsid w:val="00880ACE"/>
    <w:rsid w:val="008820D7"/>
    <w:rsid w:val="00882783"/>
    <w:rsid w:val="0088353B"/>
    <w:rsid w:val="00883635"/>
    <w:rsid w:val="0088424A"/>
    <w:rsid w:val="0088469D"/>
    <w:rsid w:val="00884D61"/>
    <w:rsid w:val="008851E1"/>
    <w:rsid w:val="0088556F"/>
    <w:rsid w:val="00885609"/>
    <w:rsid w:val="00885688"/>
    <w:rsid w:val="00885D06"/>
    <w:rsid w:val="00886EA2"/>
    <w:rsid w:val="00887037"/>
    <w:rsid w:val="00887288"/>
    <w:rsid w:val="00887900"/>
    <w:rsid w:val="008906CC"/>
    <w:rsid w:val="0089089E"/>
    <w:rsid w:val="00891DAB"/>
    <w:rsid w:val="00892200"/>
    <w:rsid w:val="00892363"/>
    <w:rsid w:val="008928DE"/>
    <w:rsid w:val="00893C58"/>
    <w:rsid w:val="008945A1"/>
    <w:rsid w:val="00894B57"/>
    <w:rsid w:val="008959F1"/>
    <w:rsid w:val="00895AD4"/>
    <w:rsid w:val="0089625F"/>
    <w:rsid w:val="008A00C1"/>
    <w:rsid w:val="008A0C2E"/>
    <w:rsid w:val="008A12CB"/>
    <w:rsid w:val="008A1671"/>
    <w:rsid w:val="008A2E4A"/>
    <w:rsid w:val="008A4171"/>
    <w:rsid w:val="008A4A99"/>
    <w:rsid w:val="008A507C"/>
    <w:rsid w:val="008A5660"/>
    <w:rsid w:val="008A5C90"/>
    <w:rsid w:val="008A60D7"/>
    <w:rsid w:val="008A6B89"/>
    <w:rsid w:val="008A6CC0"/>
    <w:rsid w:val="008A6F30"/>
    <w:rsid w:val="008A7357"/>
    <w:rsid w:val="008A7961"/>
    <w:rsid w:val="008A7E61"/>
    <w:rsid w:val="008B014F"/>
    <w:rsid w:val="008B025A"/>
    <w:rsid w:val="008B0642"/>
    <w:rsid w:val="008B0698"/>
    <w:rsid w:val="008B074D"/>
    <w:rsid w:val="008B0AC3"/>
    <w:rsid w:val="008B0CFE"/>
    <w:rsid w:val="008B0DD0"/>
    <w:rsid w:val="008B1401"/>
    <w:rsid w:val="008B17D6"/>
    <w:rsid w:val="008B256E"/>
    <w:rsid w:val="008B2E58"/>
    <w:rsid w:val="008B312A"/>
    <w:rsid w:val="008B358E"/>
    <w:rsid w:val="008B3ED5"/>
    <w:rsid w:val="008B493D"/>
    <w:rsid w:val="008B4F69"/>
    <w:rsid w:val="008B5403"/>
    <w:rsid w:val="008B55F4"/>
    <w:rsid w:val="008B5B39"/>
    <w:rsid w:val="008B5C90"/>
    <w:rsid w:val="008B650E"/>
    <w:rsid w:val="008B6735"/>
    <w:rsid w:val="008B6EC4"/>
    <w:rsid w:val="008B7AED"/>
    <w:rsid w:val="008C094E"/>
    <w:rsid w:val="008C09A0"/>
    <w:rsid w:val="008C0C79"/>
    <w:rsid w:val="008C1059"/>
    <w:rsid w:val="008C1499"/>
    <w:rsid w:val="008C1B41"/>
    <w:rsid w:val="008C1E73"/>
    <w:rsid w:val="008C26F5"/>
    <w:rsid w:val="008C2B72"/>
    <w:rsid w:val="008C2D34"/>
    <w:rsid w:val="008C340A"/>
    <w:rsid w:val="008C4200"/>
    <w:rsid w:val="008C4E75"/>
    <w:rsid w:val="008C5CFF"/>
    <w:rsid w:val="008C5F45"/>
    <w:rsid w:val="008C6ECC"/>
    <w:rsid w:val="008C7169"/>
    <w:rsid w:val="008C7D76"/>
    <w:rsid w:val="008C7F59"/>
    <w:rsid w:val="008D03C8"/>
    <w:rsid w:val="008D0CA3"/>
    <w:rsid w:val="008D0E2B"/>
    <w:rsid w:val="008D0F55"/>
    <w:rsid w:val="008D10D4"/>
    <w:rsid w:val="008D17B7"/>
    <w:rsid w:val="008D1E7A"/>
    <w:rsid w:val="008D2520"/>
    <w:rsid w:val="008D2584"/>
    <w:rsid w:val="008D2640"/>
    <w:rsid w:val="008D2647"/>
    <w:rsid w:val="008D27FE"/>
    <w:rsid w:val="008D2844"/>
    <w:rsid w:val="008D3554"/>
    <w:rsid w:val="008D37F2"/>
    <w:rsid w:val="008D3DC8"/>
    <w:rsid w:val="008D481F"/>
    <w:rsid w:val="008D51C9"/>
    <w:rsid w:val="008D579B"/>
    <w:rsid w:val="008D6ABF"/>
    <w:rsid w:val="008D7A51"/>
    <w:rsid w:val="008E01EB"/>
    <w:rsid w:val="008E0CA5"/>
    <w:rsid w:val="008E0F5E"/>
    <w:rsid w:val="008E11DB"/>
    <w:rsid w:val="008E1371"/>
    <w:rsid w:val="008E140D"/>
    <w:rsid w:val="008E176B"/>
    <w:rsid w:val="008E1CF9"/>
    <w:rsid w:val="008E2A90"/>
    <w:rsid w:val="008E32AA"/>
    <w:rsid w:val="008E46FE"/>
    <w:rsid w:val="008E4743"/>
    <w:rsid w:val="008E5149"/>
    <w:rsid w:val="008E5C3D"/>
    <w:rsid w:val="008E5E79"/>
    <w:rsid w:val="008E6193"/>
    <w:rsid w:val="008E6556"/>
    <w:rsid w:val="008E65D7"/>
    <w:rsid w:val="008E6914"/>
    <w:rsid w:val="008E7305"/>
    <w:rsid w:val="008E75DD"/>
    <w:rsid w:val="008E76C8"/>
    <w:rsid w:val="008F023D"/>
    <w:rsid w:val="008F159C"/>
    <w:rsid w:val="008F198A"/>
    <w:rsid w:val="008F1A44"/>
    <w:rsid w:val="008F1FAD"/>
    <w:rsid w:val="008F24F1"/>
    <w:rsid w:val="008F38CD"/>
    <w:rsid w:val="008F4317"/>
    <w:rsid w:val="008F4422"/>
    <w:rsid w:val="008F5182"/>
    <w:rsid w:val="008F5E0D"/>
    <w:rsid w:val="008F5E34"/>
    <w:rsid w:val="008F5FD8"/>
    <w:rsid w:val="008F68AC"/>
    <w:rsid w:val="008F78C6"/>
    <w:rsid w:val="009007F0"/>
    <w:rsid w:val="00900A4B"/>
    <w:rsid w:val="00900E87"/>
    <w:rsid w:val="00901B2C"/>
    <w:rsid w:val="00901E9D"/>
    <w:rsid w:val="00901F44"/>
    <w:rsid w:val="009020E9"/>
    <w:rsid w:val="00902390"/>
    <w:rsid w:val="00902461"/>
    <w:rsid w:val="009042D0"/>
    <w:rsid w:val="009046A9"/>
    <w:rsid w:val="00904A94"/>
    <w:rsid w:val="009053D2"/>
    <w:rsid w:val="0090558D"/>
    <w:rsid w:val="0090565C"/>
    <w:rsid w:val="0090673A"/>
    <w:rsid w:val="0090697D"/>
    <w:rsid w:val="00906B86"/>
    <w:rsid w:val="00906FAD"/>
    <w:rsid w:val="00907999"/>
    <w:rsid w:val="009079FA"/>
    <w:rsid w:val="00907C7B"/>
    <w:rsid w:val="00907E6A"/>
    <w:rsid w:val="009102D7"/>
    <w:rsid w:val="00910426"/>
    <w:rsid w:val="00910436"/>
    <w:rsid w:val="009107C1"/>
    <w:rsid w:val="0091091D"/>
    <w:rsid w:val="009109F3"/>
    <w:rsid w:val="00911250"/>
    <w:rsid w:val="0091125D"/>
    <w:rsid w:val="00911F77"/>
    <w:rsid w:val="009124AC"/>
    <w:rsid w:val="00912CBE"/>
    <w:rsid w:val="0091311B"/>
    <w:rsid w:val="00913FB5"/>
    <w:rsid w:val="009142B0"/>
    <w:rsid w:val="00914F42"/>
    <w:rsid w:val="00915375"/>
    <w:rsid w:val="009156A2"/>
    <w:rsid w:val="00915C9A"/>
    <w:rsid w:val="00916019"/>
    <w:rsid w:val="009162E2"/>
    <w:rsid w:val="00916B88"/>
    <w:rsid w:val="00917607"/>
    <w:rsid w:val="00917A37"/>
    <w:rsid w:val="00917FE1"/>
    <w:rsid w:val="00920123"/>
    <w:rsid w:val="0092076D"/>
    <w:rsid w:val="00920F7A"/>
    <w:rsid w:val="009214A4"/>
    <w:rsid w:val="0092209C"/>
    <w:rsid w:val="00922564"/>
    <w:rsid w:val="0092367A"/>
    <w:rsid w:val="0092376F"/>
    <w:rsid w:val="00924681"/>
    <w:rsid w:val="009251D3"/>
    <w:rsid w:val="00925830"/>
    <w:rsid w:val="00925ADF"/>
    <w:rsid w:val="00925AE5"/>
    <w:rsid w:val="00925BE0"/>
    <w:rsid w:val="00925D06"/>
    <w:rsid w:val="00926E69"/>
    <w:rsid w:val="00930103"/>
    <w:rsid w:val="009303C0"/>
    <w:rsid w:val="00930907"/>
    <w:rsid w:val="00930941"/>
    <w:rsid w:val="00931608"/>
    <w:rsid w:val="00933099"/>
    <w:rsid w:val="009333DF"/>
    <w:rsid w:val="009335D5"/>
    <w:rsid w:val="00933B1D"/>
    <w:rsid w:val="00933D28"/>
    <w:rsid w:val="009346D8"/>
    <w:rsid w:val="00935160"/>
    <w:rsid w:val="00935F00"/>
    <w:rsid w:val="00936309"/>
    <w:rsid w:val="00936B94"/>
    <w:rsid w:val="009370A0"/>
    <w:rsid w:val="00937CCC"/>
    <w:rsid w:val="009403F0"/>
    <w:rsid w:val="009410E1"/>
    <w:rsid w:val="00941A26"/>
    <w:rsid w:val="00941C2B"/>
    <w:rsid w:val="00941FA3"/>
    <w:rsid w:val="00942356"/>
    <w:rsid w:val="0094329E"/>
    <w:rsid w:val="00943656"/>
    <w:rsid w:val="0094366F"/>
    <w:rsid w:val="00943A7C"/>
    <w:rsid w:val="00943B7C"/>
    <w:rsid w:val="009454BD"/>
    <w:rsid w:val="00945D82"/>
    <w:rsid w:val="00946A0B"/>
    <w:rsid w:val="00946FEB"/>
    <w:rsid w:val="009475B4"/>
    <w:rsid w:val="00947FEC"/>
    <w:rsid w:val="00950BA7"/>
    <w:rsid w:val="00950C12"/>
    <w:rsid w:val="00950EDD"/>
    <w:rsid w:val="009514AB"/>
    <w:rsid w:val="0095182F"/>
    <w:rsid w:val="00951C63"/>
    <w:rsid w:val="00951D8F"/>
    <w:rsid w:val="00951E94"/>
    <w:rsid w:val="009520CF"/>
    <w:rsid w:val="00952E9B"/>
    <w:rsid w:val="009540DC"/>
    <w:rsid w:val="00954AF3"/>
    <w:rsid w:val="00955540"/>
    <w:rsid w:val="00955A58"/>
    <w:rsid w:val="00955C3F"/>
    <w:rsid w:val="00955F4B"/>
    <w:rsid w:val="009563CB"/>
    <w:rsid w:val="00957541"/>
    <w:rsid w:val="009575B5"/>
    <w:rsid w:val="009576D1"/>
    <w:rsid w:val="009609D0"/>
    <w:rsid w:val="00960A02"/>
    <w:rsid w:val="00960CAF"/>
    <w:rsid w:val="009612C0"/>
    <w:rsid w:val="009614A9"/>
    <w:rsid w:val="0096196D"/>
    <w:rsid w:val="00961F06"/>
    <w:rsid w:val="009622F0"/>
    <w:rsid w:val="00962520"/>
    <w:rsid w:val="00962676"/>
    <w:rsid w:val="009631FF"/>
    <w:rsid w:val="009634AD"/>
    <w:rsid w:val="00963CC1"/>
    <w:rsid w:val="00963DBD"/>
    <w:rsid w:val="009641F6"/>
    <w:rsid w:val="0096448A"/>
    <w:rsid w:val="00964579"/>
    <w:rsid w:val="00964AE2"/>
    <w:rsid w:val="00964B67"/>
    <w:rsid w:val="00965711"/>
    <w:rsid w:val="009658D4"/>
    <w:rsid w:val="00965E6C"/>
    <w:rsid w:val="00966DF7"/>
    <w:rsid w:val="00967C27"/>
    <w:rsid w:val="00967D31"/>
    <w:rsid w:val="00967E0F"/>
    <w:rsid w:val="0097099B"/>
    <w:rsid w:val="0097227A"/>
    <w:rsid w:val="009732C8"/>
    <w:rsid w:val="0097336D"/>
    <w:rsid w:val="00973A5E"/>
    <w:rsid w:val="00973B58"/>
    <w:rsid w:val="00973E38"/>
    <w:rsid w:val="0097431C"/>
    <w:rsid w:val="009743C0"/>
    <w:rsid w:val="009753CB"/>
    <w:rsid w:val="0097595A"/>
    <w:rsid w:val="00975A2E"/>
    <w:rsid w:val="00975D6A"/>
    <w:rsid w:val="00976BBE"/>
    <w:rsid w:val="00976EB8"/>
    <w:rsid w:val="0097725C"/>
    <w:rsid w:val="00977547"/>
    <w:rsid w:val="00981707"/>
    <w:rsid w:val="00982121"/>
    <w:rsid w:val="009823F0"/>
    <w:rsid w:val="009825E9"/>
    <w:rsid w:val="00982A2D"/>
    <w:rsid w:val="00983A6D"/>
    <w:rsid w:val="00983B39"/>
    <w:rsid w:val="0098496E"/>
    <w:rsid w:val="00984DB8"/>
    <w:rsid w:val="00986B40"/>
    <w:rsid w:val="009871CB"/>
    <w:rsid w:val="009873EE"/>
    <w:rsid w:val="00990475"/>
    <w:rsid w:val="00990846"/>
    <w:rsid w:val="00990D5A"/>
    <w:rsid w:val="00991FDA"/>
    <w:rsid w:val="00992A21"/>
    <w:rsid w:val="0099346B"/>
    <w:rsid w:val="0099467C"/>
    <w:rsid w:val="00994D48"/>
    <w:rsid w:val="00995117"/>
    <w:rsid w:val="00996139"/>
    <w:rsid w:val="00996FC4"/>
    <w:rsid w:val="00997105"/>
    <w:rsid w:val="009971C9"/>
    <w:rsid w:val="00997349"/>
    <w:rsid w:val="009973CE"/>
    <w:rsid w:val="00997523"/>
    <w:rsid w:val="009977D6"/>
    <w:rsid w:val="00997D97"/>
    <w:rsid w:val="009A054A"/>
    <w:rsid w:val="009A11C7"/>
    <w:rsid w:val="009A28CF"/>
    <w:rsid w:val="009A2A11"/>
    <w:rsid w:val="009A2B43"/>
    <w:rsid w:val="009A2DBB"/>
    <w:rsid w:val="009A2DD7"/>
    <w:rsid w:val="009A37CE"/>
    <w:rsid w:val="009A3FE4"/>
    <w:rsid w:val="009A4AEE"/>
    <w:rsid w:val="009A64CC"/>
    <w:rsid w:val="009A6A5D"/>
    <w:rsid w:val="009A75F1"/>
    <w:rsid w:val="009A7A7D"/>
    <w:rsid w:val="009A7CEC"/>
    <w:rsid w:val="009B002B"/>
    <w:rsid w:val="009B0B62"/>
    <w:rsid w:val="009B0F36"/>
    <w:rsid w:val="009B1275"/>
    <w:rsid w:val="009B15FA"/>
    <w:rsid w:val="009B17D6"/>
    <w:rsid w:val="009B1B63"/>
    <w:rsid w:val="009B223D"/>
    <w:rsid w:val="009B3061"/>
    <w:rsid w:val="009B32A1"/>
    <w:rsid w:val="009B32B1"/>
    <w:rsid w:val="009B3349"/>
    <w:rsid w:val="009B337E"/>
    <w:rsid w:val="009B3545"/>
    <w:rsid w:val="009B360F"/>
    <w:rsid w:val="009B4AA8"/>
    <w:rsid w:val="009B4F84"/>
    <w:rsid w:val="009B5391"/>
    <w:rsid w:val="009B5706"/>
    <w:rsid w:val="009B5772"/>
    <w:rsid w:val="009B58A4"/>
    <w:rsid w:val="009B5BC0"/>
    <w:rsid w:val="009B6970"/>
    <w:rsid w:val="009B6E26"/>
    <w:rsid w:val="009B77D8"/>
    <w:rsid w:val="009B7A09"/>
    <w:rsid w:val="009C0494"/>
    <w:rsid w:val="009C04AB"/>
    <w:rsid w:val="009C0802"/>
    <w:rsid w:val="009C1188"/>
    <w:rsid w:val="009C14AC"/>
    <w:rsid w:val="009C16AE"/>
    <w:rsid w:val="009C2002"/>
    <w:rsid w:val="009C2079"/>
    <w:rsid w:val="009C2686"/>
    <w:rsid w:val="009C28FF"/>
    <w:rsid w:val="009C2E1F"/>
    <w:rsid w:val="009C3116"/>
    <w:rsid w:val="009C3127"/>
    <w:rsid w:val="009C3C08"/>
    <w:rsid w:val="009C3DD0"/>
    <w:rsid w:val="009C4434"/>
    <w:rsid w:val="009C4574"/>
    <w:rsid w:val="009C4BBA"/>
    <w:rsid w:val="009C4C4B"/>
    <w:rsid w:val="009C4F10"/>
    <w:rsid w:val="009C584B"/>
    <w:rsid w:val="009C5CA2"/>
    <w:rsid w:val="009C5ECA"/>
    <w:rsid w:val="009C6234"/>
    <w:rsid w:val="009C67C9"/>
    <w:rsid w:val="009C68CF"/>
    <w:rsid w:val="009C730D"/>
    <w:rsid w:val="009C79F3"/>
    <w:rsid w:val="009C7FD0"/>
    <w:rsid w:val="009D0012"/>
    <w:rsid w:val="009D0A16"/>
    <w:rsid w:val="009D0A46"/>
    <w:rsid w:val="009D0B87"/>
    <w:rsid w:val="009D0E3C"/>
    <w:rsid w:val="009D10FA"/>
    <w:rsid w:val="009D1C3B"/>
    <w:rsid w:val="009D2DF8"/>
    <w:rsid w:val="009D36B6"/>
    <w:rsid w:val="009D3B34"/>
    <w:rsid w:val="009D3DEE"/>
    <w:rsid w:val="009D3E71"/>
    <w:rsid w:val="009D45C6"/>
    <w:rsid w:val="009D517D"/>
    <w:rsid w:val="009D6192"/>
    <w:rsid w:val="009D6955"/>
    <w:rsid w:val="009D73A9"/>
    <w:rsid w:val="009D79C1"/>
    <w:rsid w:val="009E01DB"/>
    <w:rsid w:val="009E0D53"/>
    <w:rsid w:val="009E0EBE"/>
    <w:rsid w:val="009E1454"/>
    <w:rsid w:val="009E2372"/>
    <w:rsid w:val="009E23F9"/>
    <w:rsid w:val="009E246B"/>
    <w:rsid w:val="009E2647"/>
    <w:rsid w:val="009E2BA1"/>
    <w:rsid w:val="009E2F86"/>
    <w:rsid w:val="009E352E"/>
    <w:rsid w:val="009E3553"/>
    <w:rsid w:val="009E39B4"/>
    <w:rsid w:val="009E3AD9"/>
    <w:rsid w:val="009E459F"/>
    <w:rsid w:val="009E4B9B"/>
    <w:rsid w:val="009E57D3"/>
    <w:rsid w:val="009E5982"/>
    <w:rsid w:val="009E5CA1"/>
    <w:rsid w:val="009E5CAC"/>
    <w:rsid w:val="009E60FF"/>
    <w:rsid w:val="009E63AF"/>
    <w:rsid w:val="009E656E"/>
    <w:rsid w:val="009E6BE3"/>
    <w:rsid w:val="009E6C5C"/>
    <w:rsid w:val="009E7A20"/>
    <w:rsid w:val="009E7B3E"/>
    <w:rsid w:val="009F0064"/>
    <w:rsid w:val="009F0130"/>
    <w:rsid w:val="009F0200"/>
    <w:rsid w:val="009F072F"/>
    <w:rsid w:val="009F0FB2"/>
    <w:rsid w:val="009F0FEA"/>
    <w:rsid w:val="009F195B"/>
    <w:rsid w:val="009F1E94"/>
    <w:rsid w:val="009F2612"/>
    <w:rsid w:val="009F269D"/>
    <w:rsid w:val="009F2968"/>
    <w:rsid w:val="009F29CE"/>
    <w:rsid w:val="009F3139"/>
    <w:rsid w:val="009F356A"/>
    <w:rsid w:val="009F39AA"/>
    <w:rsid w:val="009F3A36"/>
    <w:rsid w:val="009F4080"/>
    <w:rsid w:val="009F40E9"/>
    <w:rsid w:val="009F4550"/>
    <w:rsid w:val="009F4EB2"/>
    <w:rsid w:val="009F4F0A"/>
    <w:rsid w:val="009F509E"/>
    <w:rsid w:val="009F5DC4"/>
    <w:rsid w:val="009F5E01"/>
    <w:rsid w:val="009F610D"/>
    <w:rsid w:val="009F617D"/>
    <w:rsid w:val="009F6658"/>
    <w:rsid w:val="009F7EBC"/>
    <w:rsid w:val="009F7F4A"/>
    <w:rsid w:val="00A00171"/>
    <w:rsid w:val="00A00C66"/>
    <w:rsid w:val="00A01246"/>
    <w:rsid w:val="00A0168D"/>
    <w:rsid w:val="00A01A3E"/>
    <w:rsid w:val="00A022FF"/>
    <w:rsid w:val="00A028BA"/>
    <w:rsid w:val="00A02EC6"/>
    <w:rsid w:val="00A038D6"/>
    <w:rsid w:val="00A03CFF"/>
    <w:rsid w:val="00A0401C"/>
    <w:rsid w:val="00A04C6A"/>
    <w:rsid w:val="00A05161"/>
    <w:rsid w:val="00A07C8E"/>
    <w:rsid w:val="00A10140"/>
    <w:rsid w:val="00A109C8"/>
    <w:rsid w:val="00A10CFC"/>
    <w:rsid w:val="00A1101C"/>
    <w:rsid w:val="00A11B71"/>
    <w:rsid w:val="00A11BD6"/>
    <w:rsid w:val="00A124FA"/>
    <w:rsid w:val="00A128BF"/>
    <w:rsid w:val="00A12CC9"/>
    <w:rsid w:val="00A1340D"/>
    <w:rsid w:val="00A1362F"/>
    <w:rsid w:val="00A13D1B"/>
    <w:rsid w:val="00A1430F"/>
    <w:rsid w:val="00A15CA8"/>
    <w:rsid w:val="00A16575"/>
    <w:rsid w:val="00A16F02"/>
    <w:rsid w:val="00A17300"/>
    <w:rsid w:val="00A17B3E"/>
    <w:rsid w:val="00A17BD3"/>
    <w:rsid w:val="00A206D1"/>
    <w:rsid w:val="00A20B9D"/>
    <w:rsid w:val="00A225D9"/>
    <w:rsid w:val="00A227A8"/>
    <w:rsid w:val="00A22D1D"/>
    <w:rsid w:val="00A22D42"/>
    <w:rsid w:val="00A23028"/>
    <w:rsid w:val="00A230D9"/>
    <w:rsid w:val="00A2337C"/>
    <w:rsid w:val="00A238A2"/>
    <w:rsid w:val="00A23CDE"/>
    <w:rsid w:val="00A23E3B"/>
    <w:rsid w:val="00A2438E"/>
    <w:rsid w:val="00A245C7"/>
    <w:rsid w:val="00A2499B"/>
    <w:rsid w:val="00A24B58"/>
    <w:rsid w:val="00A2517C"/>
    <w:rsid w:val="00A2565A"/>
    <w:rsid w:val="00A258D8"/>
    <w:rsid w:val="00A260FC"/>
    <w:rsid w:val="00A277A0"/>
    <w:rsid w:val="00A27AC6"/>
    <w:rsid w:val="00A27BD2"/>
    <w:rsid w:val="00A30A5D"/>
    <w:rsid w:val="00A30C26"/>
    <w:rsid w:val="00A3103C"/>
    <w:rsid w:val="00A3129E"/>
    <w:rsid w:val="00A31D42"/>
    <w:rsid w:val="00A324AD"/>
    <w:rsid w:val="00A32601"/>
    <w:rsid w:val="00A332D0"/>
    <w:rsid w:val="00A334FE"/>
    <w:rsid w:val="00A3393C"/>
    <w:rsid w:val="00A33940"/>
    <w:rsid w:val="00A33974"/>
    <w:rsid w:val="00A33FF4"/>
    <w:rsid w:val="00A343A6"/>
    <w:rsid w:val="00A34CDE"/>
    <w:rsid w:val="00A34E6D"/>
    <w:rsid w:val="00A35096"/>
    <w:rsid w:val="00A35191"/>
    <w:rsid w:val="00A3566A"/>
    <w:rsid w:val="00A35D0F"/>
    <w:rsid w:val="00A37EE0"/>
    <w:rsid w:val="00A37FED"/>
    <w:rsid w:val="00A400D4"/>
    <w:rsid w:val="00A402E9"/>
    <w:rsid w:val="00A40B86"/>
    <w:rsid w:val="00A40E2C"/>
    <w:rsid w:val="00A413D8"/>
    <w:rsid w:val="00A41720"/>
    <w:rsid w:val="00A422C9"/>
    <w:rsid w:val="00A42BE7"/>
    <w:rsid w:val="00A430DD"/>
    <w:rsid w:val="00A43577"/>
    <w:rsid w:val="00A4371E"/>
    <w:rsid w:val="00A45F56"/>
    <w:rsid w:val="00A46538"/>
    <w:rsid w:val="00A4666D"/>
    <w:rsid w:val="00A472AE"/>
    <w:rsid w:val="00A475B9"/>
    <w:rsid w:val="00A475EB"/>
    <w:rsid w:val="00A47CFF"/>
    <w:rsid w:val="00A506BB"/>
    <w:rsid w:val="00A50DE5"/>
    <w:rsid w:val="00A519B3"/>
    <w:rsid w:val="00A52227"/>
    <w:rsid w:val="00A52F61"/>
    <w:rsid w:val="00A52FC5"/>
    <w:rsid w:val="00A5330A"/>
    <w:rsid w:val="00A5354B"/>
    <w:rsid w:val="00A53710"/>
    <w:rsid w:val="00A538D2"/>
    <w:rsid w:val="00A53BC3"/>
    <w:rsid w:val="00A54E4E"/>
    <w:rsid w:val="00A559D1"/>
    <w:rsid w:val="00A55DFB"/>
    <w:rsid w:val="00A56071"/>
    <w:rsid w:val="00A565B8"/>
    <w:rsid w:val="00A565C1"/>
    <w:rsid w:val="00A5688C"/>
    <w:rsid w:val="00A56A93"/>
    <w:rsid w:val="00A57252"/>
    <w:rsid w:val="00A572C9"/>
    <w:rsid w:val="00A60B39"/>
    <w:rsid w:val="00A61186"/>
    <w:rsid w:val="00A6128B"/>
    <w:rsid w:val="00A61DBE"/>
    <w:rsid w:val="00A61DF8"/>
    <w:rsid w:val="00A629C1"/>
    <w:rsid w:val="00A645BC"/>
    <w:rsid w:val="00A648E0"/>
    <w:rsid w:val="00A64B9B"/>
    <w:rsid w:val="00A64F10"/>
    <w:rsid w:val="00A65847"/>
    <w:rsid w:val="00A659CF"/>
    <w:rsid w:val="00A65C14"/>
    <w:rsid w:val="00A6630D"/>
    <w:rsid w:val="00A6644D"/>
    <w:rsid w:val="00A67255"/>
    <w:rsid w:val="00A675AC"/>
    <w:rsid w:val="00A67C75"/>
    <w:rsid w:val="00A70107"/>
    <w:rsid w:val="00A7046A"/>
    <w:rsid w:val="00A70700"/>
    <w:rsid w:val="00A7071B"/>
    <w:rsid w:val="00A71772"/>
    <w:rsid w:val="00A71C54"/>
    <w:rsid w:val="00A72126"/>
    <w:rsid w:val="00A721BF"/>
    <w:rsid w:val="00A73CF5"/>
    <w:rsid w:val="00A741A2"/>
    <w:rsid w:val="00A74269"/>
    <w:rsid w:val="00A743F2"/>
    <w:rsid w:val="00A74ACE"/>
    <w:rsid w:val="00A7520F"/>
    <w:rsid w:val="00A753BE"/>
    <w:rsid w:val="00A75E52"/>
    <w:rsid w:val="00A7624D"/>
    <w:rsid w:val="00A76377"/>
    <w:rsid w:val="00A76E18"/>
    <w:rsid w:val="00A76FDD"/>
    <w:rsid w:val="00A77275"/>
    <w:rsid w:val="00A77F24"/>
    <w:rsid w:val="00A77FBB"/>
    <w:rsid w:val="00A807F5"/>
    <w:rsid w:val="00A81AC8"/>
    <w:rsid w:val="00A81ACE"/>
    <w:rsid w:val="00A82CCA"/>
    <w:rsid w:val="00A84D30"/>
    <w:rsid w:val="00A85048"/>
    <w:rsid w:val="00A857E6"/>
    <w:rsid w:val="00A858BE"/>
    <w:rsid w:val="00A8771A"/>
    <w:rsid w:val="00A8793E"/>
    <w:rsid w:val="00A90125"/>
    <w:rsid w:val="00A902D2"/>
    <w:rsid w:val="00A9058C"/>
    <w:rsid w:val="00A90C4D"/>
    <w:rsid w:val="00A9113A"/>
    <w:rsid w:val="00A915B5"/>
    <w:rsid w:val="00A916C9"/>
    <w:rsid w:val="00A91ADD"/>
    <w:rsid w:val="00A92092"/>
    <w:rsid w:val="00A92476"/>
    <w:rsid w:val="00A9296D"/>
    <w:rsid w:val="00A92A11"/>
    <w:rsid w:val="00A92DDB"/>
    <w:rsid w:val="00A94110"/>
    <w:rsid w:val="00A94777"/>
    <w:rsid w:val="00A94AE3"/>
    <w:rsid w:val="00A95715"/>
    <w:rsid w:val="00A95BBB"/>
    <w:rsid w:val="00A95EC4"/>
    <w:rsid w:val="00A965E3"/>
    <w:rsid w:val="00A97644"/>
    <w:rsid w:val="00A97830"/>
    <w:rsid w:val="00AA02C0"/>
    <w:rsid w:val="00AA0845"/>
    <w:rsid w:val="00AA350A"/>
    <w:rsid w:val="00AA40D4"/>
    <w:rsid w:val="00AA4627"/>
    <w:rsid w:val="00AA465D"/>
    <w:rsid w:val="00AA4B4E"/>
    <w:rsid w:val="00AA522E"/>
    <w:rsid w:val="00AA6438"/>
    <w:rsid w:val="00AA7200"/>
    <w:rsid w:val="00AA7334"/>
    <w:rsid w:val="00AA77E8"/>
    <w:rsid w:val="00AA7A3A"/>
    <w:rsid w:val="00AB0E00"/>
    <w:rsid w:val="00AB14FD"/>
    <w:rsid w:val="00AB1C0C"/>
    <w:rsid w:val="00AB2676"/>
    <w:rsid w:val="00AB2734"/>
    <w:rsid w:val="00AB2978"/>
    <w:rsid w:val="00AB322F"/>
    <w:rsid w:val="00AB39AC"/>
    <w:rsid w:val="00AB4E94"/>
    <w:rsid w:val="00AB4EE7"/>
    <w:rsid w:val="00AB5CC2"/>
    <w:rsid w:val="00AB6A67"/>
    <w:rsid w:val="00AB7045"/>
    <w:rsid w:val="00AB71D0"/>
    <w:rsid w:val="00AB732A"/>
    <w:rsid w:val="00AB73A3"/>
    <w:rsid w:val="00AB76A7"/>
    <w:rsid w:val="00AB77A6"/>
    <w:rsid w:val="00AB7848"/>
    <w:rsid w:val="00AB7B52"/>
    <w:rsid w:val="00AB7CC3"/>
    <w:rsid w:val="00AB7CD2"/>
    <w:rsid w:val="00AB7DE3"/>
    <w:rsid w:val="00AC04E4"/>
    <w:rsid w:val="00AC0A28"/>
    <w:rsid w:val="00AC0D4E"/>
    <w:rsid w:val="00AC0E88"/>
    <w:rsid w:val="00AC1276"/>
    <w:rsid w:val="00AC22EE"/>
    <w:rsid w:val="00AC2959"/>
    <w:rsid w:val="00AC31F9"/>
    <w:rsid w:val="00AC38C1"/>
    <w:rsid w:val="00AC39E7"/>
    <w:rsid w:val="00AC40ED"/>
    <w:rsid w:val="00AC45A3"/>
    <w:rsid w:val="00AC479B"/>
    <w:rsid w:val="00AC4E9B"/>
    <w:rsid w:val="00AC55BD"/>
    <w:rsid w:val="00AC56EB"/>
    <w:rsid w:val="00AC5731"/>
    <w:rsid w:val="00AC6326"/>
    <w:rsid w:val="00AC6B5E"/>
    <w:rsid w:val="00AC73FF"/>
    <w:rsid w:val="00AC7A04"/>
    <w:rsid w:val="00AD009D"/>
    <w:rsid w:val="00AD0782"/>
    <w:rsid w:val="00AD0922"/>
    <w:rsid w:val="00AD09E5"/>
    <w:rsid w:val="00AD0D3E"/>
    <w:rsid w:val="00AD15FA"/>
    <w:rsid w:val="00AD1915"/>
    <w:rsid w:val="00AD221C"/>
    <w:rsid w:val="00AD294C"/>
    <w:rsid w:val="00AD2A3B"/>
    <w:rsid w:val="00AD3C26"/>
    <w:rsid w:val="00AD3DD2"/>
    <w:rsid w:val="00AD43D8"/>
    <w:rsid w:val="00AD4EEA"/>
    <w:rsid w:val="00AD669A"/>
    <w:rsid w:val="00AD6C24"/>
    <w:rsid w:val="00AD6ED0"/>
    <w:rsid w:val="00AD7141"/>
    <w:rsid w:val="00AD71C6"/>
    <w:rsid w:val="00AD7EC4"/>
    <w:rsid w:val="00AE023F"/>
    <w:rsid w:val="00AE06AC"/>
    <w:rsid w:val="00AE0A50"/>
    <w:rsid w:val="00AE0C44"/>
    <w:rsid w:val="00AE10AF"/>
    <w:rsid w:val="00AE257A"/>
    <w:rsid w:val="00AE25DA"/>
    <w:rsid w:val="00AE2DDF"/>
    <w:rsid w:val="00AE4839"/>
    <w:rsid w:val="00AE521D"/>
    <w:rsid w:val="00AE522F"/>
    <w:rsid w:val="00AE530F"/>
    <w:rsid w:val="00AE5E11"/>
    <w:rsid w:val="00AE5FED"/>
    <w:rsid w:val="00AE6845"/>
    <w:rsid w:val="00AE7826"/>
    <w:rsid w:val="00AE7CBA"/>
    <w:rsid w:val="00AE7E3B"/>
    <w:rsid w:val="00AF04CE"/>
    <w:rsid w:val="00AF05D1"/>
    <w:rsid w:val="00AF0A88"/>
    <w:rsid w:val="00AF0CDC"/>
    <w:rsid w:val="00AF1142"/>
    <w:rsid w:val="00AF11F7"/>
    <w:rsid w:val="00AF1645"/>
    <w:rsid w:val="00AF22A2"/>
    <w:rsid w:val="00AF29C5"/>
    <w:rsid w:val="00AF40AF"/>
    <w:rsid w:val="00AF4905"/>
    <w:rsid w:val="00AF4BFF"/>
    <w:rsid w:val="00AF4F37"/>
    <w:rsid w:val="00AF4F63"/>
    <w:rsid w:val="00AF5596"/>
    <w:rsid w:val="00AF568E"/>
    <w:rsid w:val="00AF58DA"/>
    <w:rsid w:val="00AF5D9D"/>
    <w:rsid w:val="00AF5EE2"/>
    <w:rsid w:val="00AF5F08"/>
    <w:rsid w:val="00AF5FD8"/>
    <w:rsid w:val="00AF7210"/>
    <w:rsid w:val="00AF7506"/>
    <w:rsid w:val="00AF76F0"/>
    <w:rsid w:val="00B00F5F"/>
    <w:rsid w:val="00B0147B"/>
    <w:rsid w:val="00B01B8E"/>
    <w:rsid w:val="00B01C1D"/>
    <w:rsid w:val="00B01FE9"/>
    <w:rsid w:val="00B020CD"/>
    <w:rsid w:val="00B028F3"/>
    <w:rsid w:val="00B02BA9"/>
    <w:rsid w:val="00B02E25"/>
    <w:rsid w:val="00B02F4B"/>
    <w:rsid w:val="00B0309A"/>
    <w:rsid w:val="00B04469"/>
    <w:rsid w:val="00B04F00"/>
    <w:rsid w:val="00B0604F"/>
    <w:rsid w:val="00B06272"/>
    <w:rsid w:val="00B06556"/>
    <w:rsid w:val="00B07B0E"/>
    <w:rsid w:val="00B10E11"/>
    <w:rsid w:val="00B10FAD"/>
    <w:rsid w:val="00B11834"/>
    <w:rsid w:val="00B1221E"/>
    <w:rsid w:val="00B134A4"/>
    <w:rsid w:val="00B1385F"/>
    <w:rsid w:val="00B142D4"/>
    <w:rsid w:val="00B14910"/>
    <w:rsid w:val="00B14962"/>
    <w:rsid w:val="00B14E57"/>
    <w:rsid w:val="00B15693"/>
    <w:rsid w:val="00B15A21"/>
    <w:rsid w:val="00B1727B"/>
    <w:rsid w:val="00B176B3"/>
    <w:rsid w:val="00B17B65"/>
    <w:rsid w:val="00B17BA0"/>
    <w:rsid w:val="00B2052F"/>
    <w:rsid w:val="00B20B88"/>
    <w:rsid w:val="00B21074"/>
    <w:rsid w:val="00B2197E"/>
    <w:rsid w:val="00B21CED"/>
    <w:rsid w:val="00B23D78"/>
    <w:rsid w:val="00B248C1"/>
    <w:rsid w:val="00B249EC"/>
    <w:rsid w:val="00B25C55"/>
    <w:rsid w:val="00B27290"/>
    <w:rsid w:val="00B2788B"/>
    <w:rsid w:val="00B30325"/>
    <w:rsid w:val="00B30396"/>
    <w:rsid w:val="00B304D7"/>
    <w:rsid w:val="00B30D8C"/>
    <w:rsid w:val="00B30EEE"/>
    <w:rsid w:val="00B30F1E"/>
    <w:rsid w:val="00B3198E"/>
    <w:rsid w:val="00B31C0F"/>
    <w:rsid w:val="00B31F6A"/>
    <w:rsid w:val="00B31FEF"/>
    <w:rsid w:val="00B323DE"/>
    <w:rsid w:val="00B32635"/>
    <w:rsid w:val="00B33155"/>
    <w:rsid w:val="00B33218"/>
    <w:rsid w:val="00B336F1"/>
    <w:rsid w:val="00B34167"/>
    <w:rsid w:val="00B342E6"/>
    <w:rsid w:val="00B348FC"/>
    <w:rsid w:val="00B34EBD"/>
    <w:rsid w:val="00B359E1"/>
    <w:rsid w:val="00B35F8A"/>
    <w:rsid w:val="00B36548"/>
    <w:rsid w:val="00B369B1"/>
    <w:rsid w:val="00B3747B"/>
    <w:rsid w:val="00B37B17"/>
    <w:rsid w:val="00B37B54"/>
    <w:rsid w:val="00B37D36"/>
    <w:rsid w:val="00B4158D"/>
    <w:rsid w:val="00B417DB"/>
    <w:rsid w:val="00B42955"/>
    <w:rsid w:val="00B42F14"/>
    <w:rsid w:val="00B430BC"/>
    <w:rsid w:val="00B433C6"/>
    <w:rsid w:val="00B438CE"/>
    <w:rsid w:val="00B439E6"/>
    <w:rsid w:val="00B43B2F"/>
    <w:rsid w:val="00B4412F"/>
    <w:rsid w:val="00B441E8"/>
    <w:rsid w:val="00B445AA"/>
    <w:rsid w:val="00B44786"/>
    <w:rsid w:val="00B44B1C"/>
    <w:rsid w:val="00B45200"/>
    <w:rsid w:val="00B4556C"/>
    <w:rsid w:val="00B464F3"/>
    <w:rsid w:val="00B46550"/>
    <w:rsid w:val="00B471C3"/>
    <w:rsid w:val="00B47579"/>
    <w:rsid w:val="00B47665"/>
    <w:rsid w:val="00B47689"/>
    <w:rsid w:val="00B47850"/>
    <w:rsid w:val="00B5000A"/>
    <w:rsid w:val="00B50DF6"/>
    <w:rsid w:val="00B51E88"/>
    <w:rsid w:val="00B521AF"/>
    <w:rsid w:val="00B524F1"/>
    <w:rsid w:val="00B53415"/>
    <w:rsid w:val="00B53465"/>
    <w:rsid w:val="00B5393A"/>
    <w:rsid w:val="00B53AF2"/>
    <w:rsid w:val="00B53E67"/>
    <w:rsid w:val="00B53EAE"/>
    <w:rsid w:val="00B54888"/>
    <w:rsid w:val="00B55170"/>
    <w:rsid w:val="00B5529A"/>
    <w:rsid w:val="00B556A0"/>
    <w:rsid w:val="00B55BE4"/>
    <w:rsid w:val="00B5625E"/>
    <w:rsid w:val="00B56B1D"/>
    <w:rsid w:val="00B571D3"/>
    <w:rsid w:val="00B576E2"/>
    <w:rsid w:val="00B6031E"/>
    <w:rsid w:val="00B610B3"/>
    <w:rsid w:val="00B614DB"/>
    <w:rsid w:val="00B63AA5"/>
    <w:rsid w:val="00B63C97"/>
    <w:rsid w:val="00B63F54"/>
    <w:rsid w:val="00B64152"/>
    <w:rsid w:val="00B643A8"/>
    <w:rsid w:val="00B664E0"/>
    <w:rsid w:val="00B674A3"/>
    <w:rsid w:val="00B678C8"/>
    <w:rsid w:val="00B7004A"/>
    <w:rsid w:val="00B703B2"/>
    <w:rsid w:val="00B70B97"/>
    <w:rsid w:val="00B70FC9"/>
    <w:rsid w:val="00B710C0"/>
    <w:rsid w:val="00B714A0"/>
    <w:rsid w:val="00B718C9"/>
    <w:rsid w:val="00B71B8B"/>
    <w:rsid w:val="00B71CC2"/>
    <w:rsid w:val="00B71E15"/>
    <w:rsid w:val="00B71FDD"/>
    <w:rsid w:val="00B72014"/>
    <w:rsid w:val="00B729AB"/>
    <w:rsid w:val="00B72AA6"/>
    <w:rsid w:val="00B73DF8"/>
    <w:rsid w:val="00B74368"/>
    <w:rsid w:val="00B7543B"/>
    <w:rsid w:val="00B7593D"/>
    <w:rsid w:val="00B75947"/>
    <w:rsid w:val="00B75B0F"/>
    <w:rsid w:val="00B75BE2"/>
    <w:rsid w:val="00B764F3"/>
    <w:rsid w:val="00B76C47"/>
    <w:rsid w:val="00B7756D"/>
    <w:rsid w:val="00B7782A"/>
    <w:rsid w:val="00B816A8"/>
    <w:rsid w:val="00B81B05"/>
    <w:rsid w:val="00B823CB"/>
    <w:rsid w:val="00B8241B"/>
    <w:rsid w:val="00B83C46"/>
    <w:rsid w:val="00B849D7"/>
    <w:rsid w:val="00B84C58"/>
    <w:rsid w:val="00B84EF9"/>
    <w:rsid w:val="00B85016"/>
    <w:rsid w:val="00B856D4"/>
    <w:rsid w:val="00B862FC"/>
    <w:rsid w:val="00B86EBC"/>
    <w:rsid w:val="00B875D9"/>
    <w:rsid w:val="00B877EB"/>
    <w:rsid w:val="00B87D23"/>
    <w:rsid w:val="00B9001D"/>
    <w:rsid w:val="00B90427"/>
    <w:rsid w:val="00B90B38"/>
    <w:rsid w:val="00B90DAA"/>
    <w:rsid w:val="00B90F3B"/>
    <w:rsid w:val="00B9174C"/>
    <w:rsid w:val="00B923F2"/>
    <w:rsid w:val="00B92535"/>
    <w:rsid w:val="00B93282"/>
    <w:rsid w:val="00B93986"/>
    <w:rsid w:val="00B93B69"/>
    <w:rsid w:val="00B94E57"/>
    <w:rsid w:val="00B95CBE"/>
    <w:rsid w:val="00B9676F"/>
    <w:rsid w:val="00B974EC"/>
    <w:rsid w:val="00B97677"/>
    <w:rsid w:val="00B97AEB"/>
    <w:rsid w:val="00BA140E"/>
    <w:rsid w:val="00BA21D7"/>
    <w:rsid w:val="00BA365E"/>
    <w:rsid w:val="00BA4648"/>
    <w:rsid w:val="00BA4864"/>
    <w:rsid w:val="00BA5B81"/>
    <w:rsid w:val="00BA5FD4"/>
    <w:rsid w:val="00BA6676"/>
    <w:rsid w:val="00BA67FB"/>
    <w:rsid w:val="00BA79FB"/>
    <w:rsid w:val="00BA7D37"/>
    <w:rsid w:val="00BB0D88"/>
    <w:rsid w:val="00BB0EF7"/>
    <w:rsid w:val="00BB102E"/>
    <w:rsid w:val="00BB1BD2"/>
    <w:rsid w:val="00BB20E9"/>
    <w:rsid w:val="00BB2DC7"/>
    <w:rsid w:val="00BB5903"/>
    <w:rsid w:val="00BB59C8"/>
    <w:rsid w:val="00BB5D95"/>
    <w:rsid w:val="00BB6515"/>
    <w:rsid w:val="00BB6CB9"/>
    <w:rsid w:val="00BB7594"/>
    <w:rsid w:val="00BB791F"/>
    <w:rsid w:val="00BB7B6C"/>
    <w:rsid w:val="00BC0424"/>
    <w:rsid w:val="00BC0537"/>
    <w:rsid w:val="00BC0598"/>
    <w:rsid w:val="00BC08BA"/>
    <w:rsid w:val="00BC0C26"/>
    <w:rsid w:val="00BC17D1"/>
    <w:rsid w:val="00BC19CC"/>
    <w:rsid w:val="00BC1A80"/>
    <w:rsid w:val="00BC1C62"/>
    <w:rsid w:val="00BC1DDF"/>
    <w:rsid w:val="00BC2343"/>
    <w:rsid w:val="00BC2DCA"/>
    <w:rsid w:val="00BC3D7E"/>
    <w:rsid w:val="00BC4996"/>
    <w:rsid w:val="00BC4D58"/>
    <w:rsid w:val="00BC53D2"/>
    <w:rsid w:val="00BC59A7"/>
    <w:rsid w:val="00BC60F3"/>
    <w:rsid w:val="00BC6398"/>
    <w:rsid w:val="00BC762A"/>
    <w:rsid w:val="00BC7C41"/>
    <w:rsid w:val="00BC7DA7"/>
    <w:rsid w:val="00BD16FC"/>
    <w:rsid w:val="00BD1F19"/>
    <w:rsid w:val="00BD2BEC"/>
    <w:rsid w:val="00BD2C28"/>
    <w:rsid w:val="00BD3096"/>
    <w:rsid w:val="00BD3C95"/>
    <w:rsid w:val="00BD3E94"/>
    <w:rsid w:val="00BD487B"/>
    <w:rsid w:val="00BD52CD"/>
    <w:rsid w:val="00BD620A"/>
    <w:rsid w:val="00BD6F07"/>
    <w:rsid w:val="00BD723B"/>
    <w:rsid w:val="00BD776F"/>
    <w:rsid w:val="00BE03E2"/>
    <w:rsid w:val="00BE0AA5"/>
    <w:rsid w:val="00BE1235"/>
    <w:rsid w:val="00BE1578"/>
    <w:rsid w:val="00BE2737"/>
    <w:rsid w:val="00BE27A2"/>
    <w:rsid w:val="00BE29A9"/>
    <w:rsid w:val="00BE2C61"/>
    <w:rsid w:val="00BE3E35"/>
    <w:rsid w:val="00BE5071"/>
    <w:rsid w:val="00BE58D2"/>
    <w:rsid w:val="00BE6F74"/>
    <w:rsid w:val="00BE7974"/>
    <w:rsid w:val="00BF00C3"/>
    <w:rsid w:val="00BF01F1"/>
    <w:rsid w:val="00BF0A67"/>
    <w:rsid w:val="00BF0ED2"/>
    <w:rsid w:val="00BF10C0"/>
    <w:rsid w:val="00BF1EE3"/>
    <w:rsid w:val="00BF208F"/>
    <w:rsid w:val="00BF21A5"/>
    <w:rsid w:val="00BF2CDD"/>
    <w:rsid w:val="00BF35D8"/>
    <w:rsid w:val="00BF39C8"/>
    <w:rsid w:val="00BF3F3C"/>
    <w:rsid w:val="00BF4FF5"/>
    <w:rsid w:val="00BF5D0C"/>
    <w:rsid w:val="00BF6DB5"/>
    <w:rsid w:val="00BF711E"/>
    <w:rsid w:val="00BF725E"/>
    <w:rsid w:val="00BF76F1"/>
    <w:rsid w:val="00BF7D3D"/>
    <w:rsid w:val="00BF7DD9"/>
    <w:rsid w:val="00C0096C"/>
    <w:rsid w:val="00C00DEE"/>
    <w:rsid w:val="00C0193E"/>
    <w:rsid w:val="00C01AD9"/>
    <w:rsid w:val="00C033F8"/>
    <w:rsid w:val="00C03EB7"/>
    <w:rsid w:val="00C045E6"/>
    <w:rsid w:val="00C04681"/>
    <w:rsid w:val="00C04C58"/>
    <w:rsid w:val="00C05DEA"/>
    <w:rsid w:val="00C05F05"/>
    <w:rsid w:val="00C06559"/>
    <w:rsid w:val="00C06E31"/>
    <w:rsid w:val="00C10ACD"/>
    <w:rsid w:val="00C11AF3"/>
    <w:rsid w:val="00C11CCB"/>
    <w:rsid w:val="00C121B9"/>
    <w:rsid w:val="00C1265C"/>
    <w:rsid w:val="00C12669"/>
    <w:rsid w:val="00C12C9E"/>
    <w:rsid w:val="00C12DA5"/>
    <w:rsid w:val="00C13DF9"/>
    <w:rsid w:val="00C14109"/>
    <w:rsid w:val="00C144EE"/>
    <w:rsid w:val="00C1450D"/>
    <w:rsid w:val="00C14AEA"/>
    <w:rsid w:val="00C15940"/>
    <w:rsid w:val="00C159BE"/>
    <w:rsid w:val="00C1644F"/>
    <w:rsid w:val="00C176C7"/>
    <w:rsid w:val="00C17F95"/>
    <w:rsid w:val="00C20825"/>
    <w:rsid w:val="00C20908"/>
    <w:rsid w:val="00C20A59"/>
    <w:rsid w:val="00C21663"/>
    <w:rsid w:val="00C218A1"/>
    <w:rsid w:val="00C22E51"/>
    <w:rsid w:val="00C233D8"/>
    <w:rsid w:val="00C24497"/>
    <w:rsid w:val="00C250A7"/>
    <w:rsid w:val="00C2522D"/>
    <w:rsid w:val="00C2537C"/>
    <w:rsid w:val="00C25FFE"/>
    <w:rsid w:val="00C26675"/>
    <w:rsid w:val="00C272A8"/>
    <w:rsid w:val="00C279CB"/>
    <w:rsid w:val="00C304D5"/>
    <w:rsid w:val="00C30589"/>
    <w:rsid w:val="00C30CAC"/>
    <w:rsid w:val="00C30F21"/>
    <w:rsid w:val="00C30F4D"/>
    <w:rsid w:val="00C312A8"/>
    <w:rsid w:val="00C312BF"/>
    <w:rsid w:val="00C3148D"/>
    <w:rsid w:val="00C316EF"/>
    <w:rsid w:val="00C32664"/>
    <w:rsid w:val="00C326DC"/>
    <w:rsid w:val="00C32939"/>
    <w:rsid w:val="00C32B35"/>
    <w:rsid w:val="00C33097"/>
    <w:rsid w:val="00C33A71"/>
    <w:rsid w:val="00C35FFF"/>
    <w:rsid w:val="00C3649B"/>
    <w:rsid w:val="00C364AF"/>
    <w:rsid w:val="00C364F6"/>
    <w:rsid w:val="00C3695D"/>
    <w:rsid w:val="00C36A92"/>
    <w:rsid w:val="00C37527"/>
    <w:rsid w:val="00C379CF"/>
    <w:rsid w:val="00C40097"/>
    <w:rsid w:val="00C40131"/>
    <w:rsid w:val="00C407A8"/>
    <w:rsid w:val="00C4128E"/>
    <w:rsid w:val="00C4164A"/>
    <w:rsid w:val="00C41886"/>
    <w:rsid w:val="00C41F3A"/>
    <w:rsid w:val="00C4218A"/>
    <w:rsid w:val="00C428C4"/>
    <w:rsid w:val="00C42B6D"/>
    <w:rsid w:val="00C42E94"/>
    <w:rsid w:val="00C4303C"/>
    <w:rsid w:val="00C432CD"/>
    <w:rsid w:val="00C4360D"/>
    <w:rsid w:val="00C4389B"/>
    <w:rsid w:val="00C43D48"/>
    <w:rsid w:val="00C44F78"/>
    <w:rsid w:val="00C4551D"/>
    <w:rsid w:val="00C45FE0"/>
    <w:rsid w:val="00C46779"/>
    <w:rsid w:val="00C46C75"/>
    <w:rsid w:val="00C46DF3"/>
    <w:rsid w:val="00C47901"/>
    <w:rsid w:val="00C47C2F"/>
    <w:rsid w:val="00C50188"/>
    <w:rsid w:val="00C50883"/>
    <w:rsid w:val="00C50C73"/>
    <w:rsid w:val="00C51128"/>
    <w:rsid w:val="00C519FA"/>
    <w:rsid w:val="00C521B5"/>
    <w:rsid w:val="00C5230E"/>
    <w:rsid w:val="00C53597"/>
    <w:rsid w:val="00C547FE"/>
    <w:rsid w:val="00C54F76"/>
    <w:rsid w:val="00C55330"/>
    <w:rsid w:val="00C559B4"/>
    <w:rsid w:val="00C60229"/>
    <w:rsid w:val="00C6034F"/>
    <w:rsid w:val="00C6040B"/>
    <w:rsid w:val="00C60FE0"/>
    <w:rsid w:val="00C61616"/>
    <w:rsid w:val="00C616AA"/>
    <w:rsid w:val="00C62232"/>
    <w:rsid w:val="00C62293"/>
    <w:rsid w:val="00C62CFA"/>
    <w:rsid w:val="00C635EA"/>
    <w:rsid w:val="00C63738"/>
    <w:rsid w:val="00C64998"/>
    <w:rsid w:val="00C64CB6"/>
    <w:rsid w:val="00C6513C"/>
    <w:rsid w:val="00C6519C"/>
    <w:rsid w:val="00C6543A"/>
    <w:rsid w:val="00C65C50"/>
    <w:rsid w:val="00C666DB"/>
    <w:rsid w:val="00C667F7"/>
    <w:rsid w:val="00C67090"/>
    <w:rsid w:val="00C6712A"/>
    <w:rsid w:val="00C675A7"/>
    <w:rsid w:val="00C6780D"/>
    <w:rsid w:val="00C67C5F"/>
    <w:rsid w:val="00C70019"/>
    <w:rsid w:val="00C701A1"/>
    <w:rsid w:val="00C7095B"/>
    <w:rsid w:val="00C7103B"/>
    <w:rsid w:val="00C7142D"/>
    <w:rsid w:val="00C71952"/>
    <w:rsid w:val="00C72285"/>
    <w:rsid w:val="00C7241D"/>
    <w:rsid w:val="00C729D0"/>
    <w:rsid w:val="00C72A1E"/>
    <w:rsid w:val="00C72D05"/>
    <w:rsid w:val="00C72EC8"/>
    <w:rsid w:val="00C7302F"/>
    <w:rsid w:val="00C7335A"/>
    <w:rsid w:val="00C746E5"/>
    <w:rsid w:val="00C74F00"/>
    <w:rsid w:val="00C7501A"/>
    <w:rsid w:val="00C75435"/>
    <w:rsid w:val="00C7560E"/>
    <w:rsid w:val="00C758AB"/>
    <w:rsid w:val="00C75EE5"/>
    <w:rsid w:val="00C75F6C"/>
    <w:rsid w:val="00C77241"/>
    <w:rsid w:val="00C77251"/>
    <w:rsid w:val="00C778AA"/>
    <w:rsid w:val="00C779B9"/>
    <w:rsid w:val="00C77B9D"/>
    <w:rsid w:val="00C77D1E"/>
    <w:rsid w:val="00C77DFB"/>
    <w:rsid w:val="00C801FE"/>
    <w:rsid w:val="00C80C29"/>
    <w:rsid w:val="00C811F5"/>
    <w:rsid w:val="00C814FE"/>
    <w:rsid w:val="00C8161E"/>
    <w:rsid w:val="00C81D31"/>
    <w:rsid w:val="00C81FBE"/>
    <w:rsid w:val="00C82105"/>
    <w:rsid w:val="00C823E3"/>
    <w:rsid w:val="00C83431"/>
    <w:rsid w:val="00C83482"/>
    <w:rsid w:val="00C83AE4"/>
    <w:rsid w:val="00C83E9A"/>
    <w:rsid w:val="00C84132"/>
    <w:rsid w:val="00C846D7"/>
    <w:rsid w:val="00C84AB0"/>
    <w:rsid w:val="00C8506E"/>
    <w:rsid w:val="00C851B5"/>
    <w:rsid w:val="00C85CBA"/>
    <w:rsid w:val="00C8609D"/>
    <w:rsid w:val="00C8696C"/>
    <w:rsid w:val="00C86AD5"/>
    <w:rsid w:val="00C87871"/>
    <w:rsid w:val="00C90737"/>
    <w:rsid w:val="00C908D7"/>
    <w:rsid w:val="00C91189"/>
    <w:rsid w:val="00C91ED3"/>
    <w:rsid w:val="00C9296C"/>
    <w:rsid w:val="00C93DF9"/>
    <w:rsid w:val="00C94CBE"/>
    <w:rsid w:val="00C95F4E"/>
    <w:rsid w:val="00C965A1"/>
    <w:rsid w:val="00C96DFF"/>
    <w:rsid w:val="00C97284"/>
    <w:rsid w:val="00C9792F"/>
    <w:rsid w:val="00C97C46"/>
    <w:rsid w:val="00CA03AD"/>
    <w:rsid w:val="00CA13E4"/>
    <w:rsid w:val="00CA1CE1"/>
    <w:rsid w:val="00CA2D15"/>
    <w:rsid w:val="00CA2D68"/>
    <w:rsid w:val="00CA372A"/>
    <w:rsid w:val="00CA39B6"/>
    <w:rsid w:val="00CA3FE8"/>
    <w:rsid w:val="00CA49AA"/>
    <w:rsid w:val="00CA4CD7"/>
    <w:rsid w:val="00CA500A"/>
    <w:rsid w:val="00CA5018"/>
    <w:rsid w:val="00CA558E"/>
    <w:rsid w:val="00CA595C"/>
    <w:rsid w:val="00CA5FCB"/>
    <w:rsid w:val="00CA786E"/>
    <w:rsid w:val="00CA7949"/>
    <w:rsid w:val="00CA79D7"/>
    <w:rsid w:val="00CA7F52"/>
    <w:rsid w:val="00CB0431"/>
    <w:rsid w:val="00CB0B31"/>
    <w:rsid w:val="00CB0BD5"/>
    <w:rsid w:val="00CB0E26"/>
    <w:rsid w:val="00CB0F24"/>
    <w:rsid w:val="00CB1112"/>
    <w:rsid w:val="00CB14C6"/>
    <w:rsid w:val="00CB169D"/>
    <w:rsid w:val="00CB1DAE"/>
    <w:rsid w:val="00CB2761"/>
    <w:rsid w:val="00CB2FC1"/>
    <w:rsid w:val="00CB3086"/>
    <w:rsid w:val="00CB3187"/>
    <w:rsid w:val="00CB33E3"/>
    <w:rsid w:val="00CB3756"/>
    <w:rsid w:val="00CB402A"/>
    <w:rsid w:val="00CB463A"/>
    <w:rsid w:val="00CB4785"/>
    <w:rsid w:val="00CB48C0"/>
    <w:rsid w:val="00CB4F8E"/>
    <w:rsid w:val="00CB5198"/>
    <w:rsid w:val="00CB519D"/>
    <w:rsid w:val="00CB5466"/>
    <w:rsid w:val="00CB55E3"/>
    <w:rsid w:val="00CB6879"/>
    <w:rsid w:val="00CB6BAB"/>
    <w:rsid w:val="00CB6BEA"/>
    <w:rsid w:val="00CB6C94"/>
    <w:rsid w:val="00CB7DB9"/>
    <w:rsid w:val="00CC0085"/>
    <w:rsid w:val="00CC0625"/>
    <w:rsid w:val="00CC0876"/>
    <w:rsid w:val="00CC2A14"/>
    <w:rsid w:val="00CC3102"/>
    <w:rsid w:val="00CC35D2"/>
    <w:rsid w:val="00CC3721"/>
    <w:rsid w:val="00CC39C6"/>
    <w:rsid w:val="00CC4409"/>
    <w:rsid w:val="00CC4C7B"/>
    <w:rsid w:val="00CC5427"/>
    <w:rsid w:val="00CC5897"/>
    <w:rsid w:val="00CC5E61"/>
    <w:rsid w:val="00CC6B37"/>
    <w:rsid w:val="00CC73F4"/>
    <w:rsid w:val="00CC79B3"/>
    <w:rsid w:val="00CC7ABF"/>
    <w:rsid w:val="00CC7ACB"/>
    <w:rsid w:val="00CD034B"/>
    <w:rsid w:val="00CD0530"/>
    <w:rsid w:val="00CD0A63"/>
    <w:rsid w:val="00CD25E8"/>
    <w:rsid w:val="00CD2FF4"/>
    <w:rsid w:val="00CD31AF"/>
    <w:rsid w:val="00CD3800"/>
    <w:rsid w:val="00CD3803"/>
    <w:rsid w:val="00CD3EC1"/>
    <w:rsid w:val="00CD4DF4"/>
    <w:rsid w:val="00CD52AA"/>
    <w:rsid w:val="00CD7377"/>
    <w:rsid w:val="00CE0225"/>
    <w:rsid w:val="00CE0430"/>
    <w:rsid w:val="00CE117A"/>
    <w:rsid w:val="00CE1706"/>
    <w:rsid w:val="00CE1B79"/>
    <w:rsid w:val="00CE3418"/>
    <w:rsid w:val="00CE36B8"/>
    <w:rsid w:val="00CE36F5"/>
    <w:rsid w:val="00CE38BF"/>
    <w:rsid w:val="00CE3B9D"/>
    <w:rsid w:val="00CE45F0"/>
    <w:rsid w:val="00CE5259"/>
    <w:rsid w:val="00CE5B3F"/>
    <w:rsid w:val="00CE5F26"/>
    <w:rsid w:val="00CE6257"/>
    <w:rsid w:val="00CE62C5"/>
    <w:rsid w:val="00CE66E7"/>
    <w:rsid w:val="00CE6807"/>
    <w:rsid w:val="00CE757E"/>
    <w:rsid w:val="00CE79DE"/>
    <w:rsid w:val="00CE7A3C"/>
    <w:rsid w:val="00CE7AEF"/>
    <w:rsid w:val="00CF1022"/>
    <w:rsid w:val="00CF10EB"/>
    <w:rsid w:val="00CF13EA"/>
    <w:rsid w:val="00CF1F57"/>
    <w:rsid w:val="00CF2784"/>
    <w:rsid w:val="00CF292D"/>
    <w:rsid w:val="00CF2D5D"/>
    <w:rsid w:val="00CF2E6A"/>
    <w:rsid w:val="00CF2F2E"/>
    <w:rsid w:val="00CF35CD"/>
    <w:rsid w:val="00CF39D8"/>
    <w:rsid w:val="00CF3C60"/>
    <w:rsid w:val="00CF44C3"/>
    <w:rsid w:val="00CF4539"/>
    <w:rsid w:val="00CF4D20"/>
    <w:rsid w:val="00CF4E11"/>
    <w:rsid w:val="00CF51F0"/>
    <w:rsid w:val="00CF65FA"/>
    <w:rsid w:val="00CF7192"/>
    <w:rsid w:val="00CF7398"/>
    <w:rsid w:val="00CF7CFF"/>
    <w:rsid w:val="00CF7E88"/>
    <w:rsid w:val="00D0067E"/>
    <w:rsid w:val="00D01F3C"/>
    <w:rsid w:val="00D033C2"/>
    <w:rsid w:val="00D036B8"/>
    <w:rsid w:val="00D03EBA"/>
    <w:rsid w:val="00D045A8"/>
    <w:rsid w:val="00D04EA2"/>
    <w:rsid w:val="00D054EA"/>
    <w:rsid w:val="00D05BD3"/>
    <w:rsid w:val="00D05CFD"/>
    <w:rsid w:val="00D05F16"/>
    <w:rsid w:val="00D0622A"/>
    <w:rsid w:val="00D06A64"/>
    <w:rsid w:val="00D07583"/>
    <w:rsid w:val="00D07625"/>
    <w:rsid w:val="00D10814"/>
    <w:rsid w:val="00D10CE7"/>
    <w:rsid w:val="00D10D59"/>
    <w:rsid w:val="00D11705"/>
    <w:rsid w:val="00D1170B"/>
    <w:rsid w:val="00D1171D"/>
    <w:rsid w:val="00D11AC3"/>
    <w:rsid w:val="00D11DED"/>
    <w:rsid w:val="00D120C7"/>
    <w:rsid w:val="00D1385A"/>
    <w:rsid w:val="00D14A21"/>
    <w:rsid w:val="00D159A5"/>
    <w:rsid w:val="00D159EF"/>
    <w:rsid w:val="00D16140"/>
    <w:rsid w:val="00D169E3"/>
    <w:rsid w:val="00D17317"/>
    <w:rsid w:val="00D173AC"/>
    <w:rsid w:val="00D17512"/>
    <w:rsid w:val="00D178C2"/>
    <w:rsid w:val="00D17DAF"/>
    <w:rsid w:val="00D17E12"/>
    <w:rsid w:val="00D20009"/>
    <w:rsid w:val="00D20AA6"/>
    <w:rsid w:val="00D20B5F"/>
    <w:rsid w:val="00D2127A"/>
    <w:rsid w:val="00D214DF"/>
    <w:rsid w:val="00D21BD6"/>
    <w:rsid w:val="00D22B66"/>
    <w:rsid w:val="00D233A9"/>
    <w:rsid w:val="00D2373A"/>
    <w:rsid w:val="00D2394D"/>
    <w:rsid w:val="00D244A4"/>
    <w:rsid w:val="00D24813"/>
    <w:rsid w:val="00D24C8C"/>
    <w:rsid w:val="00D2594E"/>
    <w:rsid w:val="00D25AF6"/>
    <w:rsid w:val="00D25C85"/>
    <w:rsid w:val="00D25CDD"/>
    <w:rsid w:val="00D26970"/>
    <w:rsid w:val="00D26A71"/>
    <w:rsid w:val="00D26AF1"/>
    <w:rsid w:val="00D26C43"/>
    <w:rsid w:val="00D273F5"/>
    <w:rsid w:val="00D2762D"/>
    <w:rsid w:val="00D278CF"/>
    <w:rsid w:val="00D27A2F"/>
    <w:rsid w:val="00D3004B"/>
    <w:rsid w:val="00D30454"/>
    <w:rsid w:val="00D304D5"/>
    <w:rsid w:val="00D30527"/>
    <w:rsid w:val="00D30CA9"/>
    <w:rsid w:val="00D310C0"/>
    <w:rsid w:val="00D31987"/>
    <w:rsid w:val="00D31EA4"/>
    <w:rsid w:val="00D3266D"/>
    <w:rsid w:val="00D33922"/>
    <w:rsid w:val="00D33B77"/>
    <w:rsid w:val="00D33C16"/>
    <w:rsid w:val="00D35421"/>
    <w:rsid w:val="00D35495"/>
    <w:rsid w:val="00D35587"/>
    <w:rsid w:val="00D37343"/>
    <w:rsid w:val="00D40B47"/>
    <w:rsid w:val="00D41415"/>
    <w:rsid w:val="00D41687"/>
    <w:rsid w:val="00D417D2"/>
    <w:rsid w:val="00D42370"/>
    <w:rsid w:val="00D433A6"/>
    <w:rsid w:val="00D43A09"/>
    <w:rsid w:val="00D43F24"/>
    <w:rsid w:val="00D43F52"/>
    <w:rsid w:val="00D44408"/>
    <w:rsid w:val="00D451BC"/>
    <w:rsid w:val="00D462DA"/>
    <w:rsid w:val="00D4697F"/>
    <w:rsid w:val="00D46A26"/>
    <w:rsid w:val="00D46FCF"/>
    <w:rsid w:val="00D47DEE"/>
    <w:rsid w:val="00D5094A"/>
    <w:rsid w:val="00D519F1"/>
    <w:rsid w:val="00D51E8A"/>
    <w:rsid w:val="00D5200D"/>
    <w:rsid w:val="00D52017"/>
    <w:rsid w:val="00D526A6"/>
    <w:rsid w:val="00D5468F"/>
    <w:rsid w:val="00D55922"/>
    <w:rsid w:val="00D56AC1"/>
    <w:rsid w:val="00D56C54"/>
    <w:rsid w:val="00D56DE1"/>
    <w:rsid w:val="00D56F71"/>
    <w:rsid w:val="00D57046"/>
    <w:rsid w:val="00D572C5"/>
    <w:rsid w:val="00D57D0C"/>
    <w:rsid w:val="00D6022A"/>
    <w:rsid w:val="00D60DA1"/>
    <w:rsid w:val="00D60E4E"/>
    <w:rsid w:val="00D612AD"/>
    <w:rsid w:val="00D62643"/>
    <w:rsid w:val="00D62824"/>
    <w:rsid w:val="00D629BE"/>
    <w:rsid w:val="00D62D5E"/>
    <w:rsid w:val="00D63154"/>
    <w:rsid w:val="00D6321E"/>
    <w:rsid w:val="00D63CA4"/>
    <w:rsid w:val="00D63DAD"/>
    <w:rsid w:val="00D65A78"/>
    <w:rsid w:val="00D65F0E"/>
    <w:rsid w:val="00D66479"/>
    <w:rsid w:val="00D66A07"/>
    <w:rsid w:val="00D66F61"/>
    <w:rsid w:val="00D670DE"/>
    <w:rsid w:val="00D678B3"/>
    <w:rsid w:val="00D67CCF"/>
    <w:rsid w:val="00D70D96"/>
    <w:rsid w:val="00D7179E"/>
    <w:rsid w:val="00D7206C"/>
    <w:rsid w:val="00D72377"/>
    <w:rsid w:val="00D72DE5"/>
    <w:rsid w:val="00D72DFD"/>
    <w:rsid w:val="00D73153"/>
    <w:rsid w:val="00D73250"/>
    <w:rsid w:val="00D73B85"/>
    <w:rsid w:val="00D73D7F"/>
    <w:rsid w:val="00D7490C"/>
    <w:rsid w:val="00D75865"/>
    <w:rsid w:val="00D75C85"/>
    <w:rsid w:val="00D77190"/>
    <w:rsid w:val="00D7766A"/>
    <w:rsid w:val="00D77C3F"/>
    <w:rsid w:val="00D77EC3"/>
    <w:rsid w:val="00D77F0D"/>
    <w:rsid w:val="00D815DD"/>
    <w:rsid w:val="00D82E8F"/>
    <w:rsid w:val="00D835C3"/>
    <w:rsid w:val="00D83E4B"/>
    <w:rsid w:val="00D83EB4"/>
    <w:rsid w:val="00D83F25"/>
    <w:rsid w:val="00D87313"/>
    <w:rsid w:val="00D8771A"/>
    <w:rsid w:val="00D903D0"/>
    <w:rsid w:val="00D907FE"/>
    <w:rsid w:val="00D9166E"/>
    <w:rsid w:val="00D916AE"/>
    <w:rsid w:val="00D92040"/>
    <w:rsid w:val="00D92DA2"/>
    <w:rsid w:val="00D95542"/>
    <w:rsid w:val="00D9556C"/>
    <w:rsid w:val="00D9576D"/>
    <w:rsid w:val="00D96AC9"/>
    <w:rsid w:val="00D96F51"/>
    <w:rsid w:val="00D97A78"/>
    <w:rsid w:val="00DA04D2"/>
    <w:rsid w:val="00DA059C"/>
    <w:rsid w:val="00DA0682"/>
    <w:rsid w:val="00DA0ABB"/>
    <w:rsid w:val="00DA0F37"/>
    <w:rsid w:val="00DA1333"/>
    <w:rsid w:val="00DA2598"/>
    <w:rsid w:val="00DA2DCD"/>
    <w:rsid w:val="00DA2FC5"/>
    <w:rsid w:val="00DA3B93"/>
    <w:rsid w:val="00DA4F42"/>
    <w:rsid w:val="00DA5084"/>
    <w:rsid w:val="00DA53D5"/>
    <w:rsid w:val="00DA544C"/>
    <w:rsid w:val="00DA5636"/>
    <w:rsid w:val="00DA5CC8"/>
    <w:rsid w:val="00DA6290"/>
    <w:rsid w:val="00DA6DBB"/>
    <w:rsid w:val="00DA6F54"/>
    <w:rsid w:val="00DA7329"/>
    <w:rsid w:val="00DA78CA"/>
    <w:rsid w:val="00DA7EE7"/>
    <w:rsid w:val="00DB0B48"/>
    <w:rsid w:val="00DB1053"/>
    <w:rsid w:val="00DB11DA"/>
    <w:rsid w:val="00DB2CA1"/>
    <w:rsid w:val="00DB3D96"/>
    <w:rsid w:val="00DB52A4"/>
    <w:rsid w:val="00DB6081"/>
    <w:rsid w:val="00DB608A"/>
    <w:rsid w:val="00DB61B7"/>
    <w:rsid w:val="00DB6E9D"/>
    <w:rsid w:val="00DB79B7"/>
    <w:rsid w:val="00DB7C58"/>
    <w:rsid w:val="00DB7CC9"/>
    <w:rsid w:val="00DC01E6"/>
    <w:rsid w:val="00DC046A"/>
    <w:rsid w:val="00DC0EE3"/>
    <w:rsid w:val="00DC0F9E"/>
    <w:rsid w:val="00DC17F3"/>
    <w:rsid w:val="00DC1BAD"/>
    <w:rsid w:val="00DC3778"/>
    <w:rsid w:val="00DC3EE4"/>
    <w:rsid w:val="00DC3F1A"/>
    <w:rsid w:val="00DC42F1"/>
    <w:rsid w:val="00DC4428"/>
    <w:rsid w:val="00DC55BA"/>
    <w:rsid w:val="00DC5CD6"/>
    <w:rsid w:val="00DC5E07"/>
    <w:rsid w:val="00DC64E3"/>
    <w:rsid w:val="00DC6A44"/>
    <w:rsid w:val="00DD0048"/>
    <w:rsid w:val="00DD013D"/>
    <w:rsid w:val="00DD01DB"/>
    <w:rsid w:val="00DD0892"/>
    <w:rsid w:val="00DD130A"/>
    <w:rsid w:val="00DD146E"/>
    <w:rsid w:val="00DD1D10"/>
    <w:rsid w:val="00DD29D7"/>
    <w:rsid w:val="00DD3416"/>
    <w:rsid w:val="00DD58EE"/>
    <w:rsid w:val="00DD5A18"/>
    <w:rsid w:val="00DD6E78"/>
    <w:rsid w:val="00DD7208"/>
    <w:rsid w:val="00DD7396"/>
    <w:rsid w:val="00DD7C9C"/>
    <w:rsid w:val="00DE0488"/>
    <w:rsid w:val="00DE09F6"/>
    <w:rsid w:val="00DE14A1"/>
    <w:rsid w:val="00DE1818"/>
    <w:rsid w:val="00DE2A23"/>
    <w:rsid w:val="00DE30BE"/>
    <w:rsid w:val="00DE329A"/>
    <w:rsid w:val="00DE4948"/>
    <w:rsid w:val="00DE4E5C"/>
    <w:rsid w:val="00DE4FF8"/>
    <w:rsid w:val="00DE5A60"/>
    <w:rsid w:val="00DE64BE"/>
    <w:rsid w:val="00DE6E56"/>
    <w:rsid w:val="00DF03DC"/>
    <w:rsid w:val="00DF0C64"/>
    <w:rsid w:val="00DF15B5"/>
    <w:rsid w:val="00DF1725"/>
    <w:rsid w:val="00DF2487"/>
    <w:rsid w:val="00DF2C7C"/>
    <w:rsid w:val="00DF3027"/>
    <w:rsid w:val="00DF307A"/>
    <w:rsid w:val="00DF37E1"/>
    <w:rsid w:val="00DF431B"/>
    <w:rsid w:val="00DF4B2F"/>
    <w:rsid w:val="00DF5423"/>
    <w:rsid w:val="00DF67AA"/>
    <w:rsid w:val="00DF6BDA"/>
    <w:rsid w:val="00DF73DC"/>
    <w:rsid w:val="00DF77F2"/>
    <w:rsid w:val="00DF7852"/>
    <w:rsid w:val="00E00BBF"/>
    <w:rsid w:val="00E01F30"/>
    <w:rsid w:val="00E02F8B"/>
    <w:rsid w:val="00E030CB"/>
    <w:rsid w:val="00E03982"/>
    <w:rsid w:val="00E04504"/>
    <w:rsid w:val="00E04BE4"/>
    <w:rsid w:val="00E054E3"/>
    <w:rsid w:val="00E057D9"/>
    <w:rsid w:val="00E05A9E"/>
    <w:rsid w:val="00E05D70"/>
    <w:rsid w:val="00E06115"/>
    <w:rsid w:val="00E06F85"/>
    <w:rsid w:val="00E072B6"/>
    <w:rsid w:val="00E075BA"/>
    <w:rsid w:val="00E07807"/>
    <w:rsid w:val="00E07A07"/>
    <w:rsid w:val="00E100C6"/>
    <w:rsid w:val="00E10CA7"/>
    <w:rsid w:val="00E11569"/>
    <w:rsid w:val="00E11FBF"/>
    <w:rsid w:val="00E12145"/>
    <w:rsid w:val="00E121E9"/>
    <w:rsid w:val="00E12235"/>
    <w:rsid w:val="00E12D19"/>
    <w:rsid w:val="00E12D8D"/>
    <w:rsid w:val="00E13001"/>
    <w:rsid w:val="00E13993"/>
    <w:rsid w:val="00E1425F"/>
    <w:rsid w:val="00E14471"/>
    <w:rsid w:val="00E14A06"/>
    <w:rsid w:val="00E152C6"/>
    <w:rsid w:val="00E1563A"/>
    <w:rsid w:val="00E15B8A"/>
    <w:rsid w:val="00E16867"/>
    <w:rsid w:val="00E1756D"/>
    <w:rsid w:val="00E205F5"/>
    <w:rsid w:val="00E20882"/>
    <w:rsid w:val="00E20E9D"/>
    <w:rsid w:val="00E2203C"/>
    <w:rsid w:val="00E22BF2"/>
    <w:rsid w:val="00E23109"/>
    <w:rsid w:val="00E23366"/>
    <w:rsid w:val="00E242A9"/>
    <w:rsid w:val="00E244A1"/>
    <w:rsid w:val="00E24C0D"/>
    <w:rsid w:val="00E255C1"/>
    <w:rsid w:val="00E261E0"/>
    <w:rsid w:val="00E266BC"/>
    <w:rsid w:val="00E26854"/>
    <w:rsid w:val="00E27A96"/>
    <w:rsid w:val="00E3027B"/>
    <w:rsid w:val="00E3052A"/>
    <w:rsid w:val="00E30813"/>
    <w:rsid w:val="00E31E31"/>
    <w:rsid w:val="00E31FBA"/>
    <w:rsid w:val="00E325A9"/>
    <w:rsid w:val="00E32A15"/>
    <w:rsid w:val="00E334A7"/>
    <w:rsid w:val="00E33673"/>
    <w:rsid w:val="00E33AEA"/>
    <w:rsid w:val="00E34272"/>
    <w:rsid w:val="00E3433E"/>
    <w:rsid w:val="00E345F7"/>
    <w:rsid w:val="00E34919"/>
    <w:rsid w:val="00E35120"/>
    <w:rsid w:val="00E35563"/>
    <w:rsid w:val="00E358C9"/>
    <w:rsid w:val="00E35974"/>
    <w:rsid w:val="00E35FCD"/>
    <w:rsid w:val="00E3684F"/>
    <w:rsid w:val="00E36B45"/>
    <w:rsid w:val="00E36D92"/>
    <w:rsid w:val="00E37A19"/>
    <w:rsid w:val="00E41CB8"/>
    <w:rsid w:val="00E42EE5"/>
    <w:rsid w:val="00E432DD"/>
    <w:rsid w:val="00E44714"/>
    <w:rsid w:val="00E45678"/>
    <w:rsid w:val="00E4679B"/>
    <w:rsid w:val="00E473ED"/>
    <w:rsid w:val="00E5041A"/>
    <w:rsid w:val="00E513CD"/>
    <w:rsid w:val="00E51E2F"/>
    <w:rsid w:val="00E52150"/>
    <w:rsid w:val="00E5215D"/>
    <w:rsid w:val="00E52B2E"/>
    <w:rsid w:val="00E53507"/>
    <w:rsid w:val="00E5390B"/>
    <w:rsid w:val="00E53CC6"/>
    <w:rsid w:val="00E53F2B"/>
    <w:rsid w:val="00E544F0"/>
    <w:rsid w:val="00E5499F"/>
    <w:rsid w:val="00E54D96"/>
    <w:rsid w:val="00E554B8"/>
    <w:rsid w:val="00E557B4"/>
    <w:rsid w:val="00E55A49"/>
    <w:rsid w:val="00E568A3"/>
    <w:rsid w:val="00E6019F"/>
    <w:rsid w:val="00E60ABD"/>
    <w:rsid w:val="00E61891"/>
    <w:rsid w:val="00E6239B"/>
    <w:rsid w:val="00E626F8"/>
    <w:rsid w:val="00E64EB3"/>
    <w:rsid w:val="00E65321"/>
    <w:rsid w:val="00E66902"/>
    <w:rsid w:val="00E67444"/>
    <w:rsid w:val="00E67C7C"/>
    <w:rsid w:val="00E700DB"/>
    <w:rsid w:val="00E70665"/>
    <w:rsid w:val="00E70A0E"/>
    <w:rsid w:val="00E70AE0"/>
    <w:rsid w:val="00E71453"/>
    <w:rsid w:val="00E7294D"/>
    <w:rsid w:val="00E7332B"/>
    <w:rsid w:val="00E739EB"/>
    <w:rsid w:val="00E73B2C"/>
    <w:rsid w:val="00E73BCB"/>
    <w:rsid w:val="00E73EE3"/>
    <w:rsid w:val="00E7447B"/>
    <w:rsid w:val="00E74AC1"/>
    <w:rsid w:val="00E74D3B"/>
    <w:rsid w:val="00E74FE1"/>
    <w:rsid w:val="00E755FB"/>
    <w:rsid w:val="00E75BAA"/>
    <w:rsid w:val="00E7652A"/>
    <w:rsid w:val="00E765EE"/>
    <w:rsid w:val="00E76AE7"/>
    <w:rsid w:val="00E76C52"/>
    <w:rsid w:val="00E76F00"/>
    <w:rsid w:val="00E80257"/>
    <w:rsid w:val="00E80DF9"/>
    <w:rsid w:val="00E81D9E"/>
    <w:rsid w:val="00E835CA"/>
    <w:rsid w:val="00E83954"/>
    <w:rsid w:val="00E8399C"/>
    <w:rsid w:val="00E83EC1"/>
    <w:rsid w:val="00E842E6"/>
    <w:rsid w:val="00E8446F"/>
    <w:rsid w:val="00E84988"/>
    <w:rsid w:val="00E849BA"/>
    <w:rsid w:val="00E84CBC"/>
    <w:rsid w:val="00E84D49"/>
    <w:rsid w:val="00E85C55"/>
    <w:rsid w:val="00E85F67"/>
    <w:rsid w:val="00E864A9"/>
    <w:rsid w:val="00E86C0F"/>
    <w:rsid w:val="00E86C54"/>
    <w:rsid w:val="00E878E1"/>
    <w:rsid w:val="00E901E5"/>
    <w:rsid w:val="00E90334"/>
    <w:rsid w:val="00E910B1"/>
    <w:rsid w:val="00E91190"/>
    <w:rsid w:val="00E9139C"/>
    <w:rsid w:val="00E92A44"/>
    <w:rsid w:val="00E92A77"/>
    <w:rsid w:val="00E92BFA"/>
    <w:rsid w:val="00E93B3C"/>
    <w:rsid w:val="00E948C0"/>
    <w:rsid w:val="00E95B5A"/>
    <w:rsid w:val="00E96175"/>
    <w:rsid w:val="00E97A16"/>
    <w:rsid w:val="00EA0C90"/>
    <w:rsid w:val="00EA15C1"/>
    <w:rsid w:val="00EA1C66"/>
    <w:rsid w:val="00EA1DDF"/>
    <w:rsid w:val="00EA2016"/>
    <w:rsid w:val="00EA2B50"/>
    <w:rsid w:val="00EA2F4D"/>
    <w:rsid w:val="00EA314A"/>
    <w:rsid w:val="00EA4777"/>
    <w:rsid w:val="00EA4AA0"/>
    <w:rsid w:val="00EA4C3C"/>
    <w:rsid w:val="00EA5906"/>
    <w:rsid w:val="00EA6FDA"/>
    <w:rsid w:val="00EB02D7"/>
    <w:rsid w:val="00EB0474"/>
    <w:rsid w:val="00EB173A"/>
    <w:rsid w:val="00EB1784"/>
    <w:rsid w:val="00EB2D48"/>
    <w:rsid w:val="00EB40E2"/>
    <w:rsid w:val="00EB420E"/>
    <w:rsid w:val="00EB45C7"/>
    <w:rsid w:val="00EB4D07"/>
    <w:rsid w:val="00EB5509"/>
    <w:rsid w:val="00EB628A"/>
    <w:rsid w:val="00EB6A00"/>
    <w:rsid w:val="00EB6F29"/>
    <w:rsid w:val="00EB7238"/>
    <w:rsid w:val="00EB72EE"/>
    <w:rsid w:val="00EC0822"/>
    <w:rsid w:val="00EC1485"/>
    <w:rsid w:val="00EC19D0"/>
    <w:rsid w:val="00EC1DFE"/>
    <w:rsid w:val="00EC1EF1"/>
    <w:rsid w:val="00EC23FC"/>
    <w:rsid w:val="00EC2560"/>
    <w:rsid w:val="00EC2C2B"/>
    <w:rsid w:val="00EC3799"/>
    <w:rsid w:val="00EC4434"/>
    <w:rsid w:val="00EC4AE0"/>
    <w:rsid w:val="00EC50A0"/>
    <w:rsid w:val="00EC51FA"/>
    <w:rsid w:val="00EC588B"/>
    <w:rsid w:val="00EC5B88"/>
    <w:rsid w:val="00EC5C8F"/>
    <w:rsid w:val="00EC60BC"/>
    <w:rsid w:val="00EC6909"/>
    <w:rsid w:val="00EC6E0B"/>
    <w:rsid w:val="00EC6EA2"/>
    <w:rsid w:val="00EC7DA2"/>
    <w:rsid w:val="00ED012D"/>
    <w:rsid w:val="00ED01EE"/>
    <w:rsid w:val="00ED0350"/>
    <w:rsid w:val="00ED0378"/>
    <w:rsid w:val="00ED0C31"/>
    <w:rsid w:val="00ED0EE5"/>
    <w:rsid w:val="00ED10A4"/>
    <w:rsid w:val="00ED14E2"/>
    <w:rsid w:val="00ED1DA8"/>
    <w:rsid w:val="00ED1FCE"/>
    <w:rsid w:val="00ED3745"/>
    <w:rsid w:val="00ED3F16"/>
    <w:rsid w:val="00ED46F3"/>
    <w:rsid w:val="00ED478E"/>
    <w:rsid w:val="00ED47EF"/>
    <w:rsid w:val="00ED685D"/>
    <w:rsid w:val="00ED737B"/>
    <w:rsid w:val="00ED76E9"/>
    <w:rsid w:val="00ED781D"/>
    <w:rsid w:val="00EE03B4"/>
    <w:rsid w:val="00EE08C4"/>
    <w:rsid w:val="00EE16EA"/>
    <w:rsid w:val="00EE1E64"/>
    <w:rsid w:val="00EE23C8"/>
    <w:rsid w:val="00EE2D58"/>
    <w:rsid w:val="00EE30F3"/>
    <w:rsid w:val="00EE40C6"/>
    <w:rsid w:val="00EE4A1A"/>
    <w:rsid w:val="00EE4A92"/>
    <w:rsid w:val="00EE51E9"/>
    <w:rsid w:val="00EE540A"/>
    <w:rsid w:val="00EE5777"/>
    <w:rsid w:val="00EE5CA0"/>
    <w:rsid w:val="00EE5ED7"/>
    <w:rsid w:val="00EE6400"/>
    <w:rsid w:val="00EE64CE"/>
    <w:rsid w:val="00EE6730"/>
    <w:rsid w:val="00EE6C1B"/>
    <w:rsid w:val="00EE6F2D"/>
    <w:rsid w:val="00EE729D"/>
    <w:rsid w:val="00EE7B81"/>
    <w:rsid w:val="00EE7DA5"/>
    <w:rsid w:val="00EF0A7A"/>
    <w:rsid w:val="00EF0ED4"/>
    <w:rsid w:val="00EF11C5"/>
    <w:rsid w:val="00EF1258"/>
    <w:rsid w:val="00EF1328"/>
    <w:rsid w:val="00EF1578"/>
    <w:rsid w:val="00EF2609"/>
    <w:rsid w:val="00EF2E6A"/>
    <w:rsid w:val="00EF3294"/>
    <w:rsid w:val="00EF3F81"/>
    <w:rsid w:val="00EF4457"/>
    <w:rsid w:val="00EF46C6"/>
    <w:rsid w:val="00EF4A98"/>
    <w:rsid w:val="00EF5A83"/>
    <w:rsid w:val="00EF5BAC"/>
    <w:rsid w:val="00EF5C30"/>
    <w:rsid w:val="00EF5C85"/>
    <w:rsid w:val="00EF6D85"/>
    <w:rsid w:val="00EF75A8"/>
    <w:rsid w:val="00EF7B10"/>
    <w:rsid w:val="00F0019B"/>
    <w:rsid w:val="00F003E1"/>
    <w:rsid w:val="00F00525"/>
    <w:rsid w:val="00F00AF4"/>
    <w:rsid w:val="00F00C20"/>
    <w:rsid w:val="00F01021"/>
    <w:rsid w:val="00F0168E"/>
    <w:rsid w:val="00F01BF2"/>
    <w:rsid w:val="00F01F7B"/>
    <w:rsid w:val="00F02223"/>
    <w:rsid w:val="00F02504"/>
    <w:rsid w:val="00F0286F"/>
    <w:rsid w:val="00F02AD3"/>
    <w:rsid w:val="00F02E9E"/>
    <w:rsid w:val="00F0408F"/>
    <w:rsid w:val="00F045AF"/>
    <w:rsid w:val="00F056BA"/>
    <w:rsid w:val="00F05798"/>
    <w:rsid w:val="00F05962"/>
    <w:rsid w:val="00F05B96"/>
    <w:rsid w:val="00F067E1"/>
    <w:rsid w:val="00F07379"/>
    <w:rsid w:val="00F073FC"/>
    <w:rsid w:val="00F07AE0"/>
    <w:rsid w:val="00F07C8F"/>
    <w:rsid w:val="00F109B2"/>
    <w:rsid w:val="00F10A87"/>
    <w:rsid w:val="00F11548"/>
    <w:rsid w:val="00F11665"/>
    <w:rsid w:val="00F131D3"/>
    <w:rsid w:val="00F13A2B"/>
    <w:rsid w:val="00F13B6C"/>
    <w:rsid w:val="00F13E4E"/>
    <w:rsid w:val="00F14767"/>
    <w:rsid w:val="00F14895"/>
    <w:rsid w:val="00F14D3F"/>
    <w:rsid w:val="00F14E88"/>
    <w:rsid w:val="00F15904"/>
    <w:rsid w:val="00F15A58"/>
    <w:rsid w:val="00F15BAD"/>
    <w:rsid w:val="00F15DB7"/>
    <w:rsid w:val="00F16133"/>
    <w:rsid w:val="00F1689A"/>
    <w:rsid w:val="00F17DBF"/>
    <w:rsid w:val="00F203C1"/>
    <w:rsid w:val="00F20A7D"/>
    <w:rsid w:val="00F22C7D"/>
    <w:rsid w:val="00F22CFF"/>
    <w:rsid w:val="00F22FDA"/>
    <w:rsid w:val="00F23E9F"/>
    <w:rsid w:val="00F23FD7"/>
    <w:rsid w:val="00F25556"/>
    <w:rsid w:val="00F258C7"/>
    <w:rsid w:val="00F25DB3"/>
    <w:rsid w:val="00F2620B"/>
    <w:rsid w:val="00F26B53"/>
    <w:rsid w:val="00F301FA"/>
    <w:rsid w:val="00F305AE"/>
    <w:rsid w:val="00F30767"/>
    <w:rsid w:val="00F308B3"/>
    <w:rsid w:val="00F30F63"/>
    <w:rsid w:val="00F31805"/>
    <w:rsid w:val="00F31F23"/>
    <w:rsid w:val="00F32DCE"/>
    <w:rsid w:val="00F337D6"/>
    <w:rsid w:val="00F3407B"/>
    <w:rsid w:val="00F34DE1"/>
    <w:rsid w:val="00F34E09"/>
    <w:rsid w:val="00F351A7"/>
    <w:rsid w:val="00F35675"/>
    <w:rsid w:val="00F36BC8"/>
    <w:rsid w:val="00F37062"/>
    <w:rsid w:val="00F37390"/>
    <w:rsid w:val="00F3768C"/>
    <w:rsid w:val="00F40848"/>
    <w:rsid w:val="00F414AD"/>
    <w:rsid w:val="00F41E91"/>
    <w:rsid w:val="00F421E2"/>
    <w:rsid w:val="00F43BDE"/>
    <w:rsid w:val="00F44E3E"/>
    <w:rsid w:val="00F45A9C"/>
    <w:rsid w:val="00F46455"/>
    <w:rsid w:val="00F465D1"/>
    <w:rsid w:val="00F46CDE"/>
    <w:rsid w:val="00F477F9"/>
    <w:rsid w:val="00F47D98"/>
    <w:rsid w:val="00F5009D"/>
    <w:rsid w:val="00F50289"/>
    <w:rsid w:val="00F50980"/>
    <w:rsid w:val="00F51039"/>
    <w:rsid w:val="00F51338"/>
    <w:rsid w:val="00F5148F"/>
    <w:rsid w:val="00F51A05"/>
    <w:rsid w:val="00F51BA5"/>
    <w:rsid w:val="00F52266"/>
    <w:rsid w:val="00F529C9"/>
    <w:rsid w:val="00F53B58"/>
    <w:rsid w:val="00F53D67"/>
    <w:rsid w:val="00F540E3"/>
    <w:rsid w:val="00F54462"/>
    <w:rsid w:val="00F5598E"/>
    <w:rsid w:val="00F566C8"/>
    <w:rsid w:val="00F56CA1"/>
    <w:rsid w:val="00F57137"/>
    <w:rsid w:val="00F574E6"/>
    <w:rsid w:val="00F57B4F"/>
    <w:rsid w:val="00F57ECF"/>
    <w:rsid w:val="00F607F0"/>
    <w:rsid w:val="00F60A75"/>
    <w:rsid w:val="00F61F77"/>
    <w:rsid w:val="00F61F7F"/>
    <w:rsid w:val="00F63464"/>
    <w:rsid w:val="00F64591"/>
    <w:rsid w:val="00F64AB8"/>
    <w:rsid w:val="00F6550F"/>
    <w:rsid w:val="00F65FFD"/>
    <w:rsid w:val="00F66753"/>
    <w:rsid w:val="00F6717F"/>
    <w:rsid w:val="00F67E97"/>
    <w:rsid w:val="00F67EB4"/>
    <w:rsid w:val="00F700FA"/>
    <w:rsid w:val="00F709CF"/>
    <w:rsid w:val="00F70EBC"/>
    <w:rsid w:val="00F710DD"/>
    <w:rsid w:val="00F71598"/>
    <w:rsid w:val="00F7170C"/>
    <w:rsid w:val="00F72EE3"/>
    <w:rsid w:val="00F73397"/>
    <w:rsid w:val="00F7371B"/>
    <w:rsid w:val="00F737E6"/>
    <w:rsid w:val="00F73971"/>
    <w:rsid w:val="00F739F8"/>
    <w:rsid w:val="00F74354"/>
    <w:rsid w:val="00F74C45"/>
    <w:rsid w:val="00F74FA2"/>
    <w:rsid w:val="00F755FD"/>
    <w:rsid w:val="00F759BB"/>
    <w:rsid w:val="00F7635D"/>
    <w:rsid w:val="00F7677A"/>
    <w:rsid w:val="00F76BB6"/>
    <w:rsid w:val="00F76E49"/>
    <w:rsid w:val="00F77B2A"/>
    <w:rsid w:val="00F80996"/>
    <w:rsid w:val="00F80D13"/>
    <w:rsid w:val="00F80ECE"/>
    <w:rsid w:val="00F80F40"/>
    <w:rsid w:val="00F817BC"/>
    <w:rsid w:val="00F81846"/>
    <w:rsid w:val="00F829B4"/>
    <w:rsid w:val="00F82FC2"/>
    <w:rsid w:val="00F83314"/>
    <w:rsid w:val="00F83BA0"/>
    <w:rsid w:val="00F84C07"/>
    <w:rsid w:val="00F8538D"/>
    <w:rsid w:val="00F85754"/>
    <w:rsid w:val="00F85BDF"/>
    <w:rsid w:val="00F85F4E"/>
    <w:rsid w:val="00F860EF"/>
    <w:rsid w:val="00F872C6"/>
    <w:rsid w:val="00F87358"/>
    <w:rsid w:val="00F877E0"/>
    <w:rsid w:val="00F87BDF"/>
    <w:rsid w:val="00F902FA"/>
    <w:rsid w:val="00F90363"/>
    <w:rsid w:val="00F90518"/>
    <w:rsid w:val="00F90AE6"/>
    <w:rsid w:val="00F910BB"/>
    <w:rsid w:val="00F914AE"/>
    <w:rsid w:val="00F9152E"/>
    <w:rsid w:val="00F917EA"/>
    <w:rsid w:val="00F918DA"/>
    <w:rsid w:val="00F9198D"/>
    <w:rsid w:val="00F9199E"/>
    <w:rsid w:val="00F91E8F"/>
    <w:rsid w:val="00F925A8"/>
    <w:rsid w:val="00F92BB4"/>
    <w:rsid w:val="00F93521"/>
    <w:rsid w:val="00F93CF7"/>
    <w:rsid w:val="00F94B57"/>
    <w:rsid w:val="00F94B80"/>
    <w:rsid w:val="00F95CA5"/>
    <w:rsid w:val="00F9691F"/>
    <w:rsid w:val="00F96BB3"/>
    <w:rsid w:val="00F96ED8"/>
    <w:rsid w:val="00F974E7"/>
    <w:rsid w:val="00FA02F5"/>
    <w:rsid w:val="00FA0536"/>
    <w:rsid w:val="00FA0963"/>
    <w:rsid w:val="00FA180A"/>
    <w:rsid w:val="00FA1D72"/>
    <w:rsid w:val="00FA2296"/>
    <w:rsid w:val="00FA252B"/>
    <w:rsid w:val="00FA341E"/>
    <w:rsid w:val="00FA3F2B"/>
    <w:rsid w:val="00FA48DC"/>
    <w:rsid w:val="00FA4E7B"/>
    <w:rsid w:val="00FA5ABF"/>
    <w:rsid w:val="00FA5EF2"/>
    <w:rsid w:val="00FA6CDF"/>
    <w:rsid w:val="00FA7293"/>
    <w:rsid w:val="00FA7581"/>
    <w:rsid w:val="00FB031F"/>
    <w:rsid w:val="00FB03F0"/>
    <w:rsid w:val="00FB0616"/>
    <w:rsid w:val="00FB1F29"/>
    <w:rsid w:val="00FB2D89"/>
    <w:rsid w:val="00FB304D"/>
    <w:rsid w:val="00FB32A4"/>
    <w:rsid w:val="00FB5903"/>
    <w:rsid w:val="00FB6404"/>
    <w:rsid w:val="00FB67E2"/>
    <w:rsid w:val="00FB6FBC"/>
    <w:rsid w:val="00FB7A5F"/>
    <w:rsid w:val="00FB7B9C"/>
    <w:rsid w:val="00FC02C7"/>
    <w:rsid w:val="00FC09CD"/>
    <w:rsid w:val="00FC0D09"/>
    <w:rsid w:val="00FC12E4"/>
    <w:rsid w:val="00FC12EC"/>
    <w:rsid w:val="00FC1E7C"/>
    <w:rsid w:val="00FC1F23"/>
    <w:rsid w:val="00FC2A1C"/>
    <w:rsid w:val="00FC3271"/>
    <w:rsid w:val="00FC35A4"/>
    <w:rsid w:val="00FC3C8E"/>
    <w:rsid w:val="00FC3F70"/>
    <w:rsid w:val="00FC42CF"/>
    <w:rsid w:val="00FC4516"/>
    <w:rsid w:val="00FC4E96"/>
    <w:rsid w:val="00FC5714"/>
    <w:rsid w:val="00FC6C07"/>
    <w:rsid w:val="00FC73F4"/>
    <w:rsid w:val="00FD0D1B"/>
    <w:rsid w:val="00FD0D82"/>
    <w:rsid w:val="00FD0FDC"/>
    <w:rsid w:val="00FD1369"/>
    <w:rsid w:val="00FD159F"/>
    <w:rsid w:val="00FD1A5E"/>
    <w:rsid w:val="00FD1ED9"/>
    <w:rsid w:val="00FD23A1"/>
    <w:rsid w:val="00FD25E5"/>
    <w:rsid w:val="00FD283A"/>
    <w:rsid w:val="00FD314D"/>
    <w:rsid w:val="00FD3213"/>
    <w:rsid w:val="00FD3A40"/>
    <w:rsid w:val="00FD4641"/>
    <w:rsid w:val="00FD46E9"/>
    <w:rsid w:val="00FD480D"/>
    <w:rsid w:val="00FD4CC6"/>
    <w:rsid w:val="00FD5168"/>
    <w:rsid w:val="00FD61D1"/>
    <w:rsid w:val="00FD7926"/>
    <w:rsid w:val="00FE01CC"/>
    <w:rsid w:val="00FE0AAF"/>
    <w:rsid w:val="00FE0D98"/>
    <w:rsid w:val="00FE1DB1"/>
    <w:rsid w:val="00FE3084"/>
    <w:rsid w:val="00FE3424"/>
    <w:rsid w:val="00FE3627"/>
    <w:rsid w:val="00FE3ADE"/>
    <w:rsid w:val="00FE3B65"/>
    <w:rsid w:val="00FE45B4"/>
    <w:rsid w:val="00FE490B"/>
    <w:rsid w:val="00FE4DB7"/>
    <w:rsid w:val="00FE5463"/>
    <w:rsid w:val="00FE5C8D"/>
    <w:rsid w:val="00FE6331"/>
    <w:rsid w:val="00FE63D0"/>
    <w:rsid w:val="00FE64BA"/>
    <w:rsid w:val="00FE6584"/>
    <w:rsid w:val="00FE764F"/>
    <w:rsid w:val="00FF01DD"/>
    <w:rsid w:val="00FF05C3"/>
    <w:rsid w:val="00FF0A2A"/>
    <w:rsid w:val="00FF154C"/>
    <w:rsid w:val="00FF24B5"/>
    <w:rsid w:val="00FF26BD"/>
    <w:rsid w:val="00FF3041"/>
    <w:rsid w:val="00FF401A"/>
    <w:rsid w:val="00FF5B61"/>
    <w:rsid w:val="00FF5DDE"/>
    <w:rsid w:val="00FF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5AFBEA5-4C12-479E-A131-36D1208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F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81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81AC8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árrafo predeter"/>
    <w:semiHidden/>
    <w:rsid w:val="00192E3D"/>
  </w:style>
  <w:style w:type="character" w:customStyle="1" w:styleId="Fuentedeprrafopredeter1">
    <w:name w:val="Fuente de párrafo predeter1"/>
    <w:semiHidden/>
    <w:rsid w:val="00522166"/>
  </w:style>
  <w:style w:type="table" w:styleId="Tablaconcuadrcula">
    <w:name w:val="Table Grid"/>
    <w:basedOn w:val="Tablanormal"/>
    <w:rsid w:val="008510B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4FA2"/>
    <w:pPr>
      <w:tabs>
        <w:tab w:val="center" w:pos="4252"/>
        <w:tab w:val="right" w:pos="8504"/>
      </w:tabs>
    </w:pPr>
  </w:style>
  <w:style w:type="character" w:styleId="Nmerodepgina">
    <w:name w:val="page number"/>
    <w:rsid w:val="00F74FA2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rsid w:val="007B787C"/>
    <w:pPr>
      <w:tabs>
        <w:tab w:val="left" w:pos="1440"/>
        <w:tab w:val="right" w:pos="8778"/>
      </w:tabs>
      <w:ind w:left="709"/>
    </w:pPr>
    <w:rPr>
      <w:rFonts w:ascii="Arial" w:hAnsi="Arial"/>
      <w:bC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BF21A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BF21A5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BF21A5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BF21A5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BF21A5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BF21A5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BF21A5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BF21A5"/>
    <w:pPr>
      <w:ind w:left="1920"/>
    </w:pPr>
    <w:rPr>
      <w:rFonts w:asciiTheme="minorHAnsi" w:hAnsiTheme="minorHAnsi"/>
      <w:sz w:val="20"/>
      <w:szCs w:val="20"/>
    </w:rPr>
  </w:style>
  <w:style w:type="character" w:styleId="Hipervnculo">
    <w:name w:val="Hyperlink"/>
    <w:uiPriority w:val="99"/>
    <w:rsid w:val="00BF21A5"/>
    <w:rPr>
      <w:rFonts w:cs="Times New Roman"/>
      <w:color w:val="0000FF"/>
      <w:u w:val="single"/>
    </w:rPr>
  </w:style>
  <w:style w:type="character" w:customStyle="1" w:styleId="Ttulo1Car">
    <w:name w:val="Título 1 Car"/>
    <w:link w:val="Ttulo1"/>
    <w:locked/>
    <w:rsid w:val="00747FE5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rsid w:val="004B4341"/>
    <w:pPr>
      <w:ind w:left="240" w:hanging="240"/>
    </w:pPr>
    <w:rPr>
      <w:rFonts w:ascii="Arial (W1)" w:hAnsi="Arial (W1)"/>
      <w:sz w:val="20"/>
      <w:szCs w:val="20"/>
    </w:rPr>
  </w:style>
  <w:style w:type="paragraph" w:styleId="Descripcin">
    <w:name w:val="caption"/>
    <w:basedOn w:val="Normal"/>
    <w:next w:val="Normal"/>
    <w:qFormat/>
    <w:rsid w:val="009E3AD9"/>
    <w:rPr>
      <w:b/>
      <w:bCs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9E3AD9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9E3AD9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9E3AD9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9E3AD9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9E3AD9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9E3AD9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9E3AD9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9E3AD9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semiHidden/>
    <w:rsid w:val="009E3AD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13F1C"/>
    <w:pPr>
      <w:tabs>
        <w:tab w:val="center" w:pos="4252"/>
        <w:tab w:val="right" w:pos="8504"/>
      </w:tabs>
    </w:pPr>
  </w:style>
  <w:style w:type="paragraph" w:customStyle="1" w:styleId="ListParagraph1">
    <w:name w:val="List Paragraph1"/>
    <w:basedOn w:val="Normal"/>
    <w:rsid w:val="00AD2A3B"/>
    <w:pPr>
      <w:ind w:left="708"/>
    </w:pPr>
  </w:style>
  <w:style w:type="paragraph" w:customStyle="1" w:styleId="TOCHeading1">
    <w:name w:val="TOC Heading1"/>
    <w:basedOn w:val="Ttulo1"/>
    <w:next w:val="Normal"/>
    <w:rsid w:val="0080424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ipervnculovisitado">
    <w:name w:val="FollowedHyperlink"/>
    <w:rsid w:val="00A2517C"/>
    <w:rPr>
      <w:rFonts w:cs="Times New Roman"/>
      <w:color w:val="800080"/>
      <w:u w:val="single"/>
    </w:rPr>
  </w:style>
  <w:style w:type="character" w:customStyle="1" w:styleId="Ref">
    <w:name w:val="Ref"/>
    <w:aliases w:val="de comentario"/>
    <w:semiHidden/>
    <w:rsid w:val="00D10814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D108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10814"/>
    <w:rPr>
      <w:b/>
      <w:bCs/>
    </w:rPr>
  </w:style>
  <w:style w:type="paragraph" w:styleId="Textodeglobo">
    <w:name w:val="Balloon Text"/>
    <w:basedOn w:val="Normal"/>
    <w:semiHidden/>
    <w:rsid w:val="00D1081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10814"/>
    <w:rPr>
      <w:sz w:val="20"/>
      <w:szCs w:val="20"/>
    </w:rPr>
  </w:style>
  <w:style w:type="character" w:customStyle="1" w:styleId="Ref1">
    <w:name w:val="Ref1"/>
    <w:aliases w:val="de nota al pie"/>
    <w:semiHidden/>
    <w:rsid w:val="00D1081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A04C6A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E3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F72EE3"/>
  </w:style>
  <w:style w:type="paragraph" w:styleId="Textonotaalfinal">
    <w:name w:val="endnote text"/>
    <w:basedOn w:val="Normal"/>
    <w:link w:val="TextonotaalfinalCar"/>
    <w:rsid w:val="00F72E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72EE3"/>
  </w:style>
  <w:style w:type="character" w:styleId="Refdenotaalfinal">
    <w:name w:val="endnote reference"/>
    <w:basedOn w:val="Fuentedeprrafopredeter"/>
    <w:rsid w:val="00F72EE3"/>
    <w:rPr>
      <w:vertAlign w:val="superscript"/>
    </w:rPr>
  </w:style>
  <w:style w:type="character" w:styleId="Refdenotaalpie">
    <w:name w:val="footnote reference"/>
    <w:basedOn w:val="Fuentedeprrafopredeter"/>
    <w:rsid w:val="00F72EE3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9B58A4"/>
    <w:rPr>
      <w:sz w:val="24"/>
      <w:szCs w:val="24"/>
    </w:rPr>
  </w:style>
  <w:style w:type="numbering" w:customStyle="1" w:styleId="Estilo1">
    <w:name w:val="Estilo1"/>
    <w:uiPriority w:val="99"/>
    <w:rsid w:val="00A95BBB"/>
    <w:pPr>
      <w:numPr>
        <w:numId w:val="7"/>
      </w:numPr>
    </w:pPr>
  </w:style>
  <w:style w:type="numbering" w:customStyle="1" w:styleId="Estilo2">
    <w:name w:val="Estilo2"/>
    <w:uiPriority w:val="99"/>
    <w:rsid w:val="00AF568E"/>
    <w:pPr>
      <w:numPr>
        <w:numId w:val="8"/>
      </w:numPr>
    </w:pPr>
  </w:style>
  <w:style w:type="numbering" w:customStyle="1" w:styleId="Estilo3">
    <w:name w:val="Estilo3"/>
    <w:uiPriority w:val="99"/>
    <w:rsid w:val="00AF568E"/>
    <w:pPr>
      <w:numPr>
        <w:numId w:val="9"/>
      </w:numPr>
    </w:pPr>
  </w:style>
  <w:style w:type="numbering" w:customStyle="1" w:styleId="Estilo4">
    <w:name w:val="Estilo4"/>
    <w:uiPriority w:val="99"/>
    <w:rsid w:val="0000542E"/>
    <w:pPr>
      <w:numPr>
        <w:numId w:val="11"/>
      </w:numPr>
    </w:pPr>
  </w:style>
  <w:style w:type="numbering" w:customStyle="1" w:styleId="Estilo5">
    <w:name w:val="Estilo5"/>
    <w:uiPriority w:val="99"/>
    <w:rsid w:val="0027626F"/>
    <w:pPr>
      <w:numPr>
        <w:numId w:val="12"/>
      </w:numPr>
    </w:pPr>
  </w:style>
  <w:style w:type="numbering" w:customStyle="1" w:styleId="Estilo6">
    <w:name w:val="Estilo6"/>
    <w:uiPriority w:val="99"/>
    <w:rsid w:val="00597B42"/>
    <w:pPr>
      <w:numPr>
        <w:numId w:val="14"/>
      </w:numPr>
    </w:pPr>
  </w:style>
  <w:style w:type="numbering" w:customStyle="1" w:styleId="Estilo7">
    <w:name w:val="Estilo7"/>
    <w:uiPriority w:val="99"/>
    <w:rsid w:val="00AD0D3E"/>
    <w:pPr>
      <w:numPr>
        <w:numId w:val="16"/>
      </w:numPr>
    </w:pPr>
  </w:style>
  <w:style w:type="numbering" w:customStyle="1" w:styleId="Estilo8">
    <w:name w:val="Estilo8"/>
    <w:uiPriority w:val="99"/>
    <w:rsid w:val="00AD0D3E"/>
    <w:pPr>
      <w:numPr>
        <w:numId w:val="18"/>
      </w:numPr>
    </w:pPr>
  </w:style>
  <w:style w:type="character" w:styleId="Refdecomentario">
    <w:name w:val="annotation reference"/>
    <w:basedOn w:val="Fuentedeprrafopredeter"/>
    <w:rsid w:val="00D83E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eanet%20Pe&#241;a\Disco%20C\AJEANET%20PE&#209;A\ATECNOLOGIA\INFORMES%20DELEGATURA\2017\OPERACIONES\jun_2017\Graficos%20operaciones%20jun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eanet%20Pe&#241;a\Disco%20C\AJEANET%20PE&#209;A\ATECNOLOGIA\INFORMES%20DELEGATURA\2017\OPERACIONES\jun_2017\Graficos%20operaciones%20jun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eanet%20Pe&#241;a\Disco%20C\AJEANET%20PE&#209;A\ATECNOLOGIA\INFORMES%20DELEGATURA\2017\OPERACIONES\jun_2017\Graficos%20operaciones%20jun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eanet%20Pe&#241;a\Disco%20C\AJEANET%20PE&#209;A\ATECNOLOGIA\INFORMES%20DELEGATURA\2017\OPERACIONES\jun_2017\Graficos%20operaciones%20jun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+mn-lt"/>
              </a:defRPr>
            </a:pPr>
            <a:r>
              <a:rPr lang="es-CO" sz="1200">
                <a:latin typeface="+mn-lt"/>
                <a:cs typeface="Arial" panose="020B0604020202020204" pitchFamily="34" charset="0"/>
              </a:rPr>
              <a:t>Comparativo Semestral N° de Operaciones Monetarias y no Monetarias (en millones)</a:t>
            </a:r>
            <a:endParaRPr lang="es-CO" sz="2000">
              <a:latin typeface="+mn-lt"/>
              <a:cs typeface="Arial" panose="020B0604020202020204" pitchFamily="34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938113529662825E-2"/>
                  <c:y val="-3.0921459492888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04097311139564E-2"/>
                  <c:y val="-9.2764378478664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36064874093004E-3"/>
                  <c:y val="-6.1842918985776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360648740930439E-3"/>
                  <c:y val="-6.1842918985776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5360648740929641E-3"/>
                  <c:y val="-9.2764378478664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700810926163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'jun2017'!$A$1:$G$1</c:f>
              <c:strCache>
                <c:ptCount val="7"/>
                <c:pt idx="0">
                  <c:v>1S 2014</c:v>
                </c:pt>
                <c:pt idx="1">
                  <c:v>2S 2014</c:v>
                </c:pt>
                <c:pt idx="2">
                  <c:v>1S 2015</c:v>
                </c:pt>
                <c:pt idx="3">
                  <c:v>2S 2015</c:v>
                </c:pt>
                <c:pt idx="4">
                  <c:v>1S 2016</c:v>
                </c:pt>
                <c:pt idx="5">
                  <c:v>2S 2016</c:v>
                </c:pt>
                <c:pt idx="6">
                  <c:v>1S 2017</c:v>
                </c:pt>
              </c:strCache>
            </c:strRef>
          </c:cat>
          <c:val>
            <c:numRef>
              <c:f>'jun2017'!$A$2:$G$2</c:f>
              <c:numCache>
                <c:formatCode>#,##0</c:formatCode>
                <c:ptCount val="7"/>
                <c:pt idx="0">
                  <c:v>1738.666637</c:v>
                </c:pt>
                <c:pt idx="1">
                  <c:v>1978.1140600000001</c:v>
                </c:pt>
                <c:pt idx="2">
                  <c:v>2020.4177070000001</c:v>
                </c:pt>
                <c:pt idx="3">
                  <c:v>2299.6492389999999</c:v>
                </c:pt>
                <c:pt idx="4">
                  <c:v>2389.6376500000001</c:v>
                </c:pt>
                <c:pt idx="5">
                  <c:v>2536.497699</c:v>
                </c:pt>
                <c:pt idx="6">
                  <c:v>2722.7491679999998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484506064"/>
        <c:axId val="-484514768"/>
        <c:axId val="0"/>
      </c:bar3DChart>
      <c:catAx>
        <c:axId val="-48450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-484514768"/>
        <c:crosses val="autoZero"/>
        <c:auto val="1"/>
        <c:lblAlgn val="ctr"/>
        <c:lblOffset val="100"/>
        <c:noMultiLvlLbl val="0"/>
      </c:catAx>
      <c:valAx>
        <c:axId val="-48451476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484506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200"/>
              <a:t>Comparativo Semestral N° de Operaciones Monetarias</a:t>
            </a:r>
          </a:p>
          <a:p>
            <a:pPr>
              <a:defRPr/>
            </a:pPr>
            <a:r>
              <a:rPr lang="es-CO" sz="1200"/>
              <a:t>(en millones)</a:t>
            </a:r>
          </a:p>
        </c:rich>
      </c:tx>
      <c:layout>
        <c:manualLayout>
          <c:xMode val="edge"/>
          <c:yMode val="edge"/>
          <c:x val="0.17944577408938991"/>
          <c:y val="2.446982055464926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30215827338128E-2"/>
          <c:y val="0.13876811594202898"/>
          <c:w val="0.95053956834532372"/>
          <c:h val="0.770465023393814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74460431654674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9640287769784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241007194244604E-2"/>
                  <c:y val="-1.2234910277324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928057553956015E-3"/>
                  <c:y val="-3.73840162062577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4460431654676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964028776978415E-3"/>
                  <c:y val="-4.0783034257748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9928057553956831E-3"/>
                  <c:y val="-8.1566068515497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'jun2017'!$A$26:$G$26</c:f>
              <c:strCache>
                <c:ptCount val="7"/>
                <c:pt idx="0">
                  <c:v>1S 2014</c:v>
                </c:pt>
                <c:pt idx="1">
                  <c:v>2S 2014</c:v>
                </c:pt>
                <c:pt idx="2">
                  <c:v>1S 2015</c:v>
                </c:pt>
                <c:pt idx="3">
                  <c:v>2S 2015</c:v>
                </c:pt>
                <c:pt idx="4">
                  <c:v>1S 2016</c:v>
                </c:pt>
                <c:pt idx="5">
                  <c:v>2S 2016</c:v>
                </c:pt>
                <c:pt idx="6">
                  <c:v>1S 2017</c:v>
                </c:pt>
              </c:strCache>
            </c:strRef>
          </c:cat>
          <c:val>
            <c:numRef>
              <c:f>'jun2017'!$A$27:$G$27</c:f>
              <c:numCache>
                <c:formatCode>#,##0</c:formatCode>
                <c:ptCount val="7"/>
                <c:pt idx="0">
                  <c:v>1070.0783300000001</c:v>
                </c:pt>
                <c:pt idx="1">
                  <c:v>1189.4654</c:v>
                </c:pt>
                <c:pt idx="2">
                  <c:v>1140.7814490000001</c:v>
                </c:pt>
                <c:pt idx="3">
                  <c:v>1243.673605</c:v>
                </c:pt>
                <c:pt idx="4">
                  <c:v>1241.502397</c:v>
                </c:pt>
                <c:pt idx="5">
                  <c:v>1317.638293</c:v>
                </c:pt>
                <c:pt idx="6">
                  <c:v>1426.1418610000001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484505520"/>
        <c:axId val="-484503888"/>
        <c:axId val="0"/>
      </c:bar3DChart>
      <c:catAx>
        <c:axId val="-48450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-484503888"/>
        <c:crosses val="autoZero"/>
        <c:auto val="1"/>
        <c:lblAlgn val="ctr"/>
        <c:lblOffset val="100"/>
        <c:noMultiLvlLbl val="0"/>
      </c:catAx>
      <c:valAx>
        <c:axId val="-48450388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4845055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Comparativo Semestral  N° de Operaciones no Monetarias</a:t>
            </a:r>
          </a:p>
          <a:p>
            <a:pPr>
              <a:defRPr/>
            </a:pPr>
            <a:r>
              <a:rPr lang="es-CO" sz="1050" baseline="0">
                <a:latin typeface="Arial" panose="020B0604020202020204" pitchFamily="34" charset="0"/>
                <a:cs typeface="Arial" panose="020B0604020202020204" pitchFamily="34" charset="0"/>
              </a:rPr>
              <a:t>(en millones)</a:t>
            </a:r>
            <a:endParaRPr lang="es-CO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081560283687944E-2"/>
                  <c:y val="-1.0431154381084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6524822695035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652482269503553E-3"/>
                  <c:y val="-3.4770514603616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6524822695035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648936170212766E-3"/>
                  <c:y val="-3.4770514603616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8652482269503553E-3"/>
                  <c:y val="1.59363017624728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86524822695035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'jun2017'!$A$37:$G$37</c:f>
              <c:strCache>
                <c:ptCount val="7"/>
                <c:pt idx="0">
                  <c:v>1S 2014</c:v>
                </c:pt>
                <c:pt idx="1">
                  <c:v>2S 2014</c:v>
                </c:pt>
                <c:pt idx="2">
                  <c:v>1S 2015</c:v>
                </c:pt>
                <c:pt idx="3">
                  <c:v>2S 2015</c:v>
                </c:pt>
                <c:pt idx="4">
                  <c:v>1S 2016</c:v>
                </c:pt>
                <c:pt idx="5">
                  <c:v>2S 2016</c:v>
                </c:pt>
                <c:pt idx="6">
                  <c:v>1S 2017</c:v>
                </c:pt>
              </c:strCache>
            </c:strRef>
          </c:cat>
          <c:val>
            <c:numRef>
              <c:f>'jun2017'!$A$38:$G$38</c:f>
              <c:numCache>
                <c:formatCode>#,##0</c:formatCode>
                <c:ptCount val="7"/>
                <c:pt idx="0">
                  <c:v>668.58830699999999</c:v>
                </c:pt>
                <c:pt idx="1">
                  <c:v>788.64865999999995</c:v>
                </c:pt>
                <c:pt idx="2">
                  <c:v>879.636258</c:v>
                </c:pt>
                <c:pt idx="3">
                  <c:v>1055.9756339999999</c:v>
                </c:pt>
                <c:pt idx="4">
                  <c:v>1148.1352529999999</c:v>
                </c:pt>
                <c:pt idx="5">
                  <c:v>1218.859406</c:v>
                </c:pt>
                <c:pt idx="6">
                  <c:v>1296.607307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484502256"/>
        <c:axId val="-484518576"/>
        <c:axId val="0"/>
      </c:bar3DChart>
      <c:catAx>
        <c:axId val="-48450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-484518576"/>
        <c:crosses val="autoZero"/>
        <c:auto val="1"/>
        <c:lblAlgn val="ctr"/>
        <c:lblOffset val="100"/>
        <c:noMultiLvlLbl val="0"/>
      </c:catAx>
      <c:valAx>
        <c:axId val="-4845185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48450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Comparativo Semestral Monto de Operaciones</a:t>
            </a:r>
          </a:p>
          <a:p>
            <a:pPr>
              <a:defRPr/>
            </a:pPr>
            <a:r>
              <a:rPr lang="es-CO" sz="1050">
                <a:latin typeface="Arial" panose="020B0604020202020204" pitchFamily="34" charset="0"/>
                <a:cs typeface="Arial" panose="020B0604020202020204" pitchFamily="34" charset="0"/>
              </a:rPr>
              <a:t>(billones de pesos)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42614904060688E-2"/>
          <c:y val="0.12979351032448377"/>
          <c:w val="0.95091477019187864"/>
          <c:h val="0.7963078066569111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4622936189201252E-3"/>
                  <c:y val="-1.081600091300813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9344042838018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245872378401689E-3"/>
                  <c:y val="-2.94985250737468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2458723784025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92458723784016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6229361892012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9344042838002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'jun2017'!$B$47:$H$47</c:f>
              <c:strCache>
                <c:ptCount val="7"/>
                <c:pt idx="0">
                  <c:v>1S 2014</c:v>
                </c:pt>
                <c:pt idx="1">
                  <c:v>2S 2014</c:v>
                </c:pt>
                <c:pt idx="2">
                  <c:v>1S 2015</c:v>
                </c:pt>
                <c:pt idx="3">
                  <c:v>2S 2015</c:v>
                </c:pt>
                <c:pt idx="4">
                  <c:v>1S 2016</c:v>
                </c:pt>
                <c:pt idx="5">
                  <c:v>2S 2016</c:v>
                </c:pt>
                <c:pt idx="6">
                  <c:v>1S 2017</c:v>
                </c:pt>
              </c:strCache>
            </c:strRef>
          </c:cat>
          <c:val>
            <c:numRef>
              <c:f>'jun2017'!$B$48:$H$48</c:f>
              <c:numCache>
                <c:formatCode>"$"#,##0_);[Red]\("$"#,##0\)</c:formatCode>
                <c:ptCount val="7"/>
                <c:pt idx="0">
                  <c:v>2993.719247</c:v>
                </c:pt>
                <c:pt idx="1">
                  <c:v>3365.7513210000002</c:v>
                </c:pt>
                <c:pt idx="2">
                  <c:v>3233.6347070000002</c:v>
                </c:pt>
                <c:pt idx="3">
                  <c:v>3498.1553250000002</c:v>
                </c:pt>
                <c:pt idx="4">
                  <c:v>3584.1961980000001</c:v>
                </c:pt>
                <c:pt idx="5">
                  <c:v>3472.613128</c:v>
                </c:pt>
                <c:pt idx="6">
                  <c:v>3528.7280569999998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484501168"/>
        <c:axId val="-484500624"/>
        <c:axId val="0"/>
      </c:bar3DChart>
      <c:catAx>
        <c:axId val="-48450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-484500624"/>
        <c:crosses val="autoZero"/>
        <c:auto val="1"/>
        <c:lblAlgn val="ctr"/>
        <c:lblOffset val="100"/>
        <c:noMultiLvlLbl val="0"/>
      </c:catAx>
      <c:valAx>
        <c:axId val="-484500624"/>
        <c:scaling>
          <c:orientation val="minMax"/>
        </c:scaling>
        <c:delete val="1"/>
        <c:axPos val="l"/>
        <c:numFmt formatCode="&quot;$&quot;#,##0_);[Red]\(&quot;$&quot;#,##0\)" sourceLinked="1"/>
        <c:majorTickMark val="out"/>
        <c:minorTickMark val="none"/>
        <c:tickLblPos val="nextTo"/>
        <c:crossAx val="-484501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74FF-C6EE-4C10-965C-B2F06830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6503</Words>
  <Characters>35769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transacciones primer semestre de 2010</vt:lpstr>
    </vt:vector>
  </TitlesOfParts>
  <Company>Superintendencia Financiera de Colombia</Company>
  <LinksUpToDate>false</LinksUpToDate>
  <CharactersWithSpaces>42188</CharactersWithSpaces>
  <SharedDoc>false</SharedDoc>
  <HLinks>
    <vt:vector size="216" baseType="variant">
      <vt:variant>
        <vt:i4>1245241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_Toc349663555</vt:lpwstr>
      </vt:variant>
      <vt:variant>
        <vt:i4>1245241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_Toc349663554</vt:lpwstr>
      </vt:variant>
      <vt:variant>
        <vt:i4>1245241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_Toc349663553</vt:lpwstr>
      </vt:variant>
      <vt:variant>
        <vt:i4>1245241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_Toc349663552</vt:lpwstr>
      </vt:variant>
      <vt:variant>
        <vt:i4>1245241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_Toc349663551</vt:lpwstr>
      </vt:variant>
      <vt:variant>
        <vt:i4>1245241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_Toc349663550</vt:lpwstr>
      </vt:variant>
      <vt:variant>
        <vt:i4>1179705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_Toc349663549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_Toc349663548</vt:lpwstr>
      </vt:variant>
      <vt:variant>
        <vt:i4>1179705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_Toc349663547</vt:lpwstr>
      </vt:variant>
      <vt:variant>
        <vt:i4>1179705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_Toc349663546</vt:lpwstr>
      </vt:variant>
      <vt:variant>
        <vt:i4>1179705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_Toc349663545</vt:lpwstr>
      </vt:variant>
      <vt:variant>
        <vt:i4>1179705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_Toc349663544</vt:lpwstr>
      </vt:variant>
      <vt:variant>
        <vt:i4>1179705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_Toc349663543</vt:lpwstr>
      </vt:variant>
      <vt:variant>
        <vt:i4>1179705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_Toc349663542</vt:lpwstr>
      </vt:variant>
      <vt:variant>
        <vt:i4>1179705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_Toc349663541</vt:lpwstr>
      </vt:variant>
      <vt:variant>
        <vt:i4>1179705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_Toc349663540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_Toc349663539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_Toc349663538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_Toc349663537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_Toc349663536</vt:lpwstr>
      </vt:variant>
      <vt:variant>
        <vt:i4>1376313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_Toc349663535</vt:lpwstr>
      </vt:variant>
      <vt:variant>
        <vt:i4>1376313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_Toc349663534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_Toc349663533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_Toc349663532</vt:lpwstr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_Toc349663531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_Toc349663530</vt:lpwstr>
      </vt:variant>
      <vt:variant>
        <vt:i4>1310777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_Toc349663529</vt:lpwstr>
      </vt:variant>
      <vt:variant>
        <vt:i4>1310777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_Toc349663528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_Toc349663527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_Toc349663526</vt:lpwstr>
      </vt:variant>
      <vt:variant>
        <vt:i4>1310777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_Toc349663525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_Toc349663524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_Toc349663523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_Toc349663522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_Toc349663521</vt:lpwstr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mailto:riesgooperativo@superfinanciera.gov.co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transacciones primer semestre de 2010</dc:title>
  <dc:creator>Delegatura para Riesgos Operativos</dc:creator>
  <cp:lastModifiedBy>Sergio Andres Brand Cadena</cp:lastModifiedBy>
  <cp:revision>2</cp:revision>
  <cp:lastPrinted>2017-08-29T21:24:00Z</cp:lastPrinted>
  <dcterms:created xsi:type="dcterms:W3CDTF">2017-09-05T14:11:00Z</dcterms:created>
  <dcterms:modified xsi:type="dcterms:W3CDTF">2017-09-05T14:11:00Z</dcterms:modified>
</cp:coreProperties>
</file>